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42"/>
        <w:jc w:val="both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КОММЕРЧЕСКОЕ ПРЕДЛОЖЕНИЕ</w:t>
      </w:r>
      <w:r>
        <w:rPr>
          <w:b/>
          <w:sz w:val="24"/>
          <w:szCs w:val="24"/>
        </w:rPr>
      </w:r>
    </w:p>
    <w:p>
      <w:pPr>
        <w:ind w:firstLine="142"/>
        <w:jc w:val="both"/>
        <w:spacing w:after="0"/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142"/>
        <w:jc w:val="center"/>
        <w:spacing w:after="0"/>
        <w:rPr>
          <w:b/>
          <w:bCs/>
          <w:vertAlign w:val="superscript"/>
        </w:rPr>
      </w:pPr>
      <w:r>
        <w:rPr>
          <w:b/>
          <w:bCs/>
        </w:rPr>
        <w:t xml:space="preserve">Бункер оперативного накопления 6м</w:t>
      </w:r>
      <w:r>
        <w:rPr>
          <w:b/>
          <w:bCs/>
          <w:vertAlign w:val="superscript"/>
        </w:rPr>
        <w:t xml:space="preserve">3</w:t>
      </w:r>
      <w:r>
        <w:rPr>
          <w:b/>
          <w:bCs/>
          <w:vertAlign w:val="superscript"/>
        </w:rPr>
      </w:r>
    </w:p>
    <w:p>
      <w:pPr>
        <w:ind w:firstLine="142"/>
        <w:jc w:val="center"/>
        <w:spacing w:after="0"/>
        <w:rPr>
          <w:b/>
          <w:bCs/>
        </w:rPr>
      </w:pPr>
      <w:r>
        <w:rPr>
          <w:rFonts w:ascii="Times" w:hAnsi="Times"/>
          <w:sz w:val="32"/>
          <w:szCs w:val="32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239395</wp:posOffset>
                </wp:positionV>
                <wp:extent cx="3038475" cy="2714625"/>
                <wp:effectExtent l="0" t="0" r="9525" b="9525"/>
                <wp:wrapThrough wrapText="bothSides">
                  <wp:wrapPolygon edited="1">
                    <wp:start x="0" y="0"/>
                    <wp:lineTo x="0" y="21524"/>
                    <wp:lineTo x="21532" y="21524"/>
                    <wp:lineTo x="21532" y="0"/>
                    <wp:lineTo x="0" y="0"/>
                  </wp:wrapPolygon>
                </wp:wrapThrough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rcRect l="78778" t="44833" r="0" b="31001"/>
                        <a:stretch/>
                      </pic:blipFill>
                      <pic:spPr bwMode="auto">
                        <a:xfrm>
                          <a:off x="0" y="0"/>
                          <a:ext cx="3038475" cy="271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63360;o:allowoverlap:true;o:allowincell:true;mso-position-horizontal-relative:margin;mso-position-horizontal:right;mso-position-vertical-relative:text;margin-top:18.85pt;mso-position-vertical:absolute;width:239.25pt;height:213.75pt;mso-wrap-distance-left:9.00pt;mso-wrap-distance-top:0.00pt;mso-wrap-distance-right:9.00pt;mso-wrap-distance-bottom:0.00pt;" wrapcoords="0 0 0 99648 99685 99648 99685 0 0 0" stroked="f">
                <v:path textboxrect="0,0,0,0"/>
                <w10:wrap type="through"/>
                <v:imagedata r:id="rId12" o:title=""/>
              </v:shape>
            </w:pict>
          </mc:Fallback>
        </mc:AlternateContent>
      </w:r>
      <w:r>
        <w:rPr>
          <w:sz w:val="32"/>
          <w:szCs w:val="32"/>
          <w:vertAlign w:val="superscript"/>
          <w:lang w:eastAsia="hi-IN" w:bidi="hi-I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-194310</wp:posOffset>
                </wp:positionH>
                <wp:positionV relativeFrom="paragraph">
                  <wp:posOffset>215265</wp:posOffset>
                </wp:positionV>
                <wp:extent cx="2924175" cy="2755900"/>
                <wp:effectExtent l="0" t="0" r="9525" b="6350"/>
                <wp:wrapThrough wrapText="bothSides">
                  <wp:wrapPolygon edited="1">
                    <wp:start x="0" y="0"/>
                    <wp:lineTo x="0" y="21500"/>
                    <wp:lineTo x="21530" y="21500"/>
                    <wp:lineTo x="21530" y="0"/>
                    <wp:lineTo x="0" y="0"/>
                  </wp:wrapPolygon>
                </wp:wrapThrough>
                <wp:docPr id="5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rcRect l="-1" t="24286" r="72026" b="28857"/>
                        <a:stretch/>
                      </pic:blipFill>
                      <pic:spPr bwMode="auto">
                        <a:xfrm>
                          <a:off x="0" y="0"/>
                          <a:ext cx="2924175" cy="275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62336;o:allowoverlap:true;o:allowincell:true;mso-position-horizontal-relative:margin;margin-left:-15.30pt;mso-position-horizontal:absolute;mso-position-vertical-relative:text;margin-top:16.95pt;mso-position-vertical:absolute;width:230.25pt;height:217.00pt;mso-wrap-distance-left:9.00pt;mso-wrap-distance-top:0.00pt;mso-wrap-distance-right:9.00pt;mso-wrap-distance-bottom:0.00pt;" wrapcoords="0 0 0 99537 99676 99537 99676 0 0 0" stroked="f">
                <v:path textboxrect="0,0,0,0"/>
                <w10:wrap type="through"/>
                <v:imagedata r:id="rId13" o:title=""/>
              </v:shape>
            </w:pict>
          </mc:Fallback>
        </mc:AlternateContent>
      </w:r>
      <w:r>
        <w:rPr>
          <w:b/>
          <w:bCs/>
        </w:rPr>
      </w:r>
    </w:p>
    <w:p>
      <w:pPr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Бункер оперативного накопления для загрузки сырья общей емкостью накопления 6м3. В состав входит:</w:t>
      </w:r>
      <w:r>
        <w:rPr>
          <w:sz w:val="24"/>
          <w:szCs w:val="24"/>
        </w:rPr>
      </w:r>
    </w:p>
    <w:p>
      <w:pPr>
        <w:pStyle w:val="791"/>
        <w:numPr>
          <w:ilvl w:val="0"/>
          <w:numId w:val="3"/>
        </w:numPr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ёмкость накопления 6м3;</w:t>
      </w:r>
      <w:r>
        <w:rPr>
          <w:sz w:val="24"/>
          <w:szCs w:val="24"/>
        </w:rPr>
      </w:r>
    </w:p>
    <w:p>
      <w:pPr>
        <w:pStyle w:val="791"/>
        <w:numPr>
          <w:ilvl w:val="0"/>
          <w:numId w:val="3"/>
        </w:numPr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транспортер, отводящий донный L=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</w:r>
    </w:p>
    <w:p>
      <w:pPr>
        <w:pStyle w:val="791"/>
        <w:ind w:left="780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2000мм ленточно-скребковый 1,5кВт;</w:t>
      </w:r>
      <w:r>
        <w:rPr>
          <w:sz w:val="24"/>
          <w:szCs w:val="24"/>
        </w:rPr>
      </w:r>
    </w:p>
    <w:p>
      <w:pPr>
        <w:pStyle w:val="791"/>
        <w:numPr>
          <w:ilvl w:val="0"/>
          <w:numId w:val="3"/>
        </w:numPr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транспортер L=4000мм, дозирующий загрузку бункера теплогенератора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pStyle w:val="791"/>
        <w:numPr>
          <w:ilvl w:val="0"/>
          <w:numId w:val="3"/>
        </w:numPr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опорные рамы;</w:t>
      </w:r>
      <w:r>
        <w:rPr>
          <w:sz w:val="24"/>
          <w:szCs w:val="24"/>
        </w:rPr>
      </w:r>
    </w:p>
    <w:p>
      <w:pPr>
        <w:pStyle w:val="791"/>
        <w:numPr>
          <w:ilvl w:val="0"/>
          <w:numId w:val="3"/>
        </w:numPr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смотровой трап.</w:t>
      </w:r>
      <w:r>
        <w:rPr>
          <w:sz w:val="24"/>
          <w:szCs w:val="24"/>
        </w:rPr>
      </w:r>
    </w:p>
    <w:p>
      <w:pPr>
        <w:pStyle w:val="791"/>
        <w:numPr>
          <w:ilvl w:val="0"/>
          <w:numId w:val="3"/>
        </w:numPr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spacing w:after="10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ТЕХНИЧЕСКИЕ ХАРАКТЕРИСТИКИ</w:t>
      </w:r>
      <w:r>
        <w:rPr>
          <w:sz w:val="24"/>
          <w:szCs w:val="24"/>
        </w:rPr>
      </w:r>
    </w:p>
    <w:tbl>
      <w:tblPr>
        <w:tblStyle w:val="787"/>
        <w:tblW w:w="0" w:type="auto"/>
        <w:tblLook w:val="04A0" w:firstRow="1" w:lastRow="0" w:firstColumn="1" w:lastColumn="0" w:noHBand="0" w:noVBand="1"/>
      </w:tblPr>
      <w:tblGrid>
        <w:gridCol w:w="846"/>
        <w:gridCol w:w="4246"/>
        <w:gridCol w:w="4247"/>
      </w:tblGrid>
      <w:tr>
        <w:trPr/>
        <w:tc>
          <w:tcPr>
            <w:gridSpan w:val="3"/>
            <w:tcW w:w="93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Бункер оперативного накопления 6м3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</w:p>
        </w:tc>
        <w:tc>
          <w:tcPr>
            <w:tcW w:w="42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</w:t>
            </w:r>
            <w:r>
              <w:rPr>
                <w:sz w:val="24"/>
                <w:szCs w:val="24"/>
              </w:rPr>
            </w:r>
          </w:p>
        </w:tc>
        <w:tc>
          <w:tcPr>
            <w:tcW w:w="42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424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Отводящий транспортер </w:t>
            </w:r>
            <w:r>
              <w:rPr>
                <w:sz w:val="24"/>
                <w:szCs w:val="24"/>
              </w:rPr>
            </w:r>
          </w:p>
        </w:tc>
        <w:tc>
          <w:tcPr>
            <w:tcW w:w="424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ТЛС-300 1,5кВт редуктор НМРВ-63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424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Транспортер</w:t>
            </w:r>
            <w:r>
              <w:rPr>
                <w:sz w:val="24"/>
                <w:szCs w:val="24"/>
              </w:rPr>
              <w:t xml:space="preserve"> подающий</w:t>
            </w:r>
            <w:r>
              <w:rPr>
                <w:sz w:val="24"/>
                <w:szCs w:val="24"/>
              </w:rPr>
            </w:r>
          </w:p>
        </w:tc>
        <w:tc>
          <w:tcPr>
            <w:tcW w:w="424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ТЛС-300 1,5кВт редуктор НМРВ-63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4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Суммарная мощность</w:t>
            </w:r>
            <w:r>
              <w:rPr>
                <w:sz w:val="24"/>
                <w:szCs w:val="24"/>
              </w:rPr>
            </w:r>
          </w:p>
        </w:tc>
        <w:tc>
          <w:tcPr>
            <w:tcW w:w="424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3кВт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567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Оборудование изготавливается по техническим условиям, соответствует требованиям технического регламента таможенного союза и подтверждена декларацией соответствия</w:t>
      </w:r>
      <w:r>
        <w:rPr>
          <w:sz w:val="24"/>
          <w:szCs w:val="24"/>
        </w:rPr>
        <w:t xml:space="preserve"> (прилагается к данному КП).</w:t>
      </w:r>
      <w:r>
        <w:rPr>
          <w:sz w:val="24"/>
          <w:szCs w:val="24"/>
        </w:rPr>
      </w:r>
    </w:p>
    <w:p>
      <w:pPr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jc w:val="center"/>
        <w:spacing w:after="10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СТОИМОСТЬ И У</w:t>
      </w:r>
      <w:r>
        <w:rPr>
          <w:rFonts w:cs="Times New Roman"/>
          <w:sz w:val="24"/>
          <w:szCs w:val="24"/>
        </w:rPr>
        <w:t xml:space="preserve">СЛОВИЯ ПОСТАВКИ</w:t>
      </w:r>
      <w:r>
        <w:rPr>
          <w:sz w:val="24"/>
          <w:szCs w:val="24"/>
        </w:rPr>
      </w:r>
    </w:p>
    <w:tbl>
      <w:tblPr>
        <w:tblW w:w="9356" w:type="dxa"/>
        <w:tblInd w:w="-5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881"/>
        <w:gridCol w:w="2835"/>
        <w:gridCol w:w="992"/>
        <w:gridCol w:w="1843"/>
        <w:gridCol w:w="2268"/>
      </w:tblGrid>
      <w:tr>
        <w:trPr>
          <w:trHeight w:val="5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537" w:type="dxa"/>
            <w:textDirection w:val="lrTb"/>
            <w:noWrap w:val="false"/>
          </w:tcPr>
          <w:p>
            <w:pPr>
              <w:jc w:val="center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 xml:space="preserve">п/п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ОКДП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товара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</w:t>
            </w:r>
            <w:r>
              <w:rPr>
                <w:sz w:val="24"/>
                <w:szCs w:val="24"/>
              </w:rPr>
              <w:br/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br/>
              <w:t xml:space="preserve">за единицу, руб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Стоимость,  </w:t>
            </w:r>
            <w:r>
              <w:rPr>
                <w:sz w:val="24"/>
                <w:szCs w:val="24"/>
              </w:rPr>
              <w:br/>
              <w:t xml:space="preserve">рублей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537" w:type="dxa"/>
            <w:textDirection w:val="lrTb"/>
            <w:noWrap w:val="false"/>
          </w:tcPr>
          <w:p>
            <w:pPr>
              <w:jc w:val="center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136"/>
              <w:jc w:val="center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Бункер оперативного накопления 6м3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 xml:space="preserve">шт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right="276"/>
              <w:jc w:val="center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295"/>
              <w:jc w:val="center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6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537" w:type="dxa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136" w:right="276"/>
              <w:jc w:val="right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без НДС: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295"/>
              <w:jc w:val="right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</w:tbl>
    <w:p>
      <w:pPr>
        <w:ind w:firstLine="567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0" w:line="276" w:lineRule="auto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Срок изготовления и поставки: не позднее 65 рабочих дней с момента поступления </w:t>
      </w:r>
      <w:r>
        <w:rPr>
          <w:sz w:val="24"/>
          <w:szCs w:val="24"/>
        </w:rPr>
      </w:r>
    </w:p>
    <w:p>
      <w:pPr>
        <w:jc w:val="both"/>
        <w:spacing w:after="0" w:line="276" w:lineRule="auto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денежных средств на текущий счет.</w:t>
      </w:r>
      <w:r>
        <w:rPr>
          <w:sz w:val="24"/>
          <w:szCs w:val="24"/>
        </w:rPr>
      </w:r>
    </w:p>
    <w:p>
      <w:pPr>
        <w:jc w:val="both"/>
        <w:spacing w:after="0" w:line="276" w:lineRule="auto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Условия оплаты: Покупатель производит 70% предоплату, путем перечисления денежных средств на расчетный счет Поставщика согласно</w:t>
      </w:r>
      <w:r>
        <w:rPr>
          <w:sz w:val="24"/>
          <w:szCs w:val="24"/>
        </w:rPr>
        <w:t xml:space="preserve"> выставленным счетам на предоплату в течение 5 банковских дней с момента получения счета или путем внесения наличных денежных средств в кассу Поставщика. Оставшиеся 30% оплачиваются по готовности, не позднее 3 рабочих дней с момента сообщения о готовности.</w:t>
      </w:r>
      <w:r>
        <w:rPr>
          <w:sz w:val="24"/>
          <w:szCs w:val="24"/>
        </w:rPr>
      </w:r>
    </w:p>
    <w:p>
      <w:pPr>
        <w:jc w:val="both"/>
        <w:spacing w:after="0" w:line="276" w:lineRule="auto"/>
        <w:shd w:val="clear" w:color="auto" w:fill="ffffff"/>
        <w:rPr>
          <w:rFonts w:eastAsia="Times New Roman" w:cs="Times New Roman"/>
          <w:color w:val="212529"/>
          <w:sz w:val="24"/>
          <w:szCs w:val="24"/>
          <w:lang w:eastAsia="ru-RU"/>
          <w14:ligatures w14:val="none"/>
        </w:rPr>
      </w:pPr>
      <w:r>
        <w:rPr>
          <w:sz w:val="24"/>
          <w:szCs w:val="24"/>
        </w:rPr>
        <w:t xml:space="preserve">Доставка: силами Поставщика за счет Покупателя услугами транспортной компании</w:t>
      </w:r>
      <w:r>
        <w:rPr>
          <w:rFonts w:eastAsia="Times New Roman" w:cs="Times New Roman"/>
          <w:color w:val="212529"/>
          <w:sz w:val="24"/>
          <w:szCs w:val="24"/>
          <w:lang w:eastAsia="ru-RU"/>
          <w14:ligatures w14:val="none"/>
        </w:rPr>
        <w:t xml:space="preserve">.</w:t>
      </w:r>
      <w:r>
        <w:rPr>
          <w:rFonts w:eastAsia="Times New Roman" w:cs="Times New Roman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 всё оборудование выдается технический паспорт и инструкция по эксплуатации.  </w:t>
      </w:r>
      <w:r>
        <w:rPr>
          <w:sz w:val="24"/>
          <w:szCs w:val="24"/>
        </w:rPr>
      </w:r>
    </w:p>
    <w:p>
      <w:pPr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Гарантия на продукцию</w:t>
      </w:r>
      <w:r>
        <w:rPr>
          <w:sz w:val="24"/>
          <w:szCs w:val="24"/>
        </w:rPr>
        <w:t xml:space="preserve">: 12 месяцев (при условии правильной эксплуатации)</w:t>
      </w:r>
      <w:r>
        <w:rPr>
          <w:sz w:val="24"/>
          <w:szCs w:val="24"/>
        </w:rPr>
      </w:r>
    </w:p>
    <w:p>
      <w:pPr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Приложение: декларация о соответствии</w:t>
      </w:r>
      <w:r>
        <w:rPr>
          <w:sz w:val="24"/>
          <w:szCs w:val="24"/>
        </w:rPr>
      </w:r>
    </w:p>
    <w:p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88265</wp:posOffset>
                </wp:positionV>
                <wp:extent cx="1434620" cy="1327024"/>
                <wp:effectExtent l="0" t="0" r="0" b="6985"/>
                <wp:wrapNone/>
                <wp:docPr id="6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4422680" name="Рисунок 71442268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434620" cy="1327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251666432;o:allowoverlap:true;o:allowincell:true;mso-position-horizontal-relative:text;margin-left:198.45pt;mso-position-horizontal:absolute;mso-position-vertical-relative:text;margin-top:6.95pt;mso-position-vertical:absolute;width:112.96pt;height:104.49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sz w:val="24"/>
          <w:szCs w:val="24"/>
        </w:rPr>
      </w:r>
    </w:p>
    <w:p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Генеральный директор ООО «Промвиль </w:t>
      </w:r>
      <w:r>
        <w:rPr>
          <w:sz w:val="24"/>
          <w:szCs w:val="24"/>
        </w:rPr>
        <w:t xml:space="preserve">36»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В.И</w:t>
      </w:r>
      <w:r>
        <w:rPr>
          <w:sz w:val="24"/>
          <w:szCs w:val="24"/>
        </w:rPr>
        <w:t xml:space="preserve">.Цыхонь</w:t>
      </w:r>
      <w:r>
        <w:rPr>
          <w:sz w:val="24"/>
          <w:szCs w:val="24"/>
        </w:rPr>
      </w:r>
    </w:p>
    <w:p>
      <w:pPr>
        <w:ind w:firstLine="709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385445</wp:posOffset>
                </wp:positionV>
                <wp:extent cx="5686425" cy="7823200"/>
                <wp:effectExtent l="0" t="0" r="9525" b="6350"/>
                <wp:wrapThrough wrapText="bothSides">
                  <wp:wrapPolygon edited="1">
                    <wp:start x="0" y="0"/>
                    <wp:lineTo x="0" y="21565"/>
                    <wp:lineTo x="21564" y="21565"/>
                    <wp:lineTo x="21564" y="0"/>
                    <wp:lineTo x="0" y="0"/>
                  </wp:wrapPolygon>
                </wp:wrapThrough>
                <wp:docPr id="7" name="Рисунок 1744337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686425" cy="782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251665408;o:allowoverlap:true;o:allowincell:true;mso-position-horizontal-relative:margin;mso-position-horizontal:right;mso-position-vertical-relative:text;margin-top:30.35pt;mso-position-vertical:absolute;width:447.75pt;height:616.00pt;mso-wrap-distance-left:9.00pt;mso-wrap-distance-top:0.00pt;mso-wrap-distance-right:9.00pt;mso-wrap-distance-bottom:0.00pt;" wrapcoords="0 0 0 99838 99833 99838 99833 0 0 0" stroked="f">
                <v:path textboxrect="0,0,0,0"/>
                <w10:wrap type="through"/>
                <v:imagedata r:id="rId15" o:title=""/>
              </v:shape>
            </w:pict>
          </mc:Fallback>
        </mc:AlternateContent>
      </w:r>
      <w:r>
        <w:rPr>
          <w:sz w:val="24"/>
          <w:szCs w:val="24"/>
          <w:u w:val="single"/>
        </w:rPr>
        <w:t xml:space="preserve">Приложение к КП на </w:t>
      </w:r>
      <w:r>
        <w:rPr>
          <w:sz w:val="24"/>
          <w:szCs w:val="24"/>
          <w:u w:val="single"/>
        </w:rPr>
        <w:t xml:space="preserve">Сушильный комплекс барабанного типа скбт-2,0</w:t>
      </w:r>
      <w:r>
        <w:rPr>
          <w:sz w:val="24"/>
          <w:szCs w:val="24"/>
          <w:u w:val="single"/>
        </w:rPr>
      </w:r>
    </w:p>
    <w:p>
      <w:pPr>
        <w:ind w:firstLine="567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8"/>
        <w:jc w:val="both"/>
        <w:rPr>
          <w:sz w:val="24"/>
          <w:szCs w:val="24"/>
        </w:rPr>
      </w:pPr>
      <w:r>
        <w:rPr>
          <w:rStyle w:val="794"/>
          <w:rFonts w:cs="Times New Roman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1710690</wp:posOffset>
                </wp:positionH>
                <wp:positionV relativeFrom="paragraph">
                  <wp:posOffset>12700</wp:posOffset>
                </wp:positionV>
                <wp:extent cx="2809240" cy="3352800"/>
                <wp:effectExtent l="0" t="0" r="0" b="0"/>
                <wp:wrapThrough wrapText="bothSides">
                  <wp:wrapPolygon edited="1">
                    <wp:start x="0" y="0"/>
                    <wp:lineTo x="0" y="21477"/>
                    <wp:lineTo x="21385" y="21477"/>
                    <wp:lineTo x="21385" y="0"/>
                    <wp:lineTo x="0" y="0"/>
                  </wp:wrapPolygon>
                </wp:wrapThrough>
                <wp:docPr id="8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rcRect l="0" t="0" r="0" b="13260"/>
                        <a:stretch/>
                      </pic:blipFill>
                      <pic:spPr bwMode="auto">
                        <a:xfrm>
                          <a:off x="0" y="0"/>
                          <a:ext cx="2809240" cy="335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251661312;o:allowoverlap:true;o:allowincell:true;mso-position-horizontal-relative:margin;margin-left:134.70pt;mso-position-horizontal:absolute;mso-position-vertical-relative:text;margin-top:1.00pt;mso-position-vertical:absolute;width:221.20pt;height:264.00pt;mso-wrap-distance-left:9.00pt;mso-wrap-distance-top:0.00pt;mso-wrap-distance-right:9.00pt;mso-wrap-distance-bottom:0.00pt;" wrapcoords="0 0 0 99431 99005 99431 99005 0 0 0" stroked="f">
                <v:path textboxrect="0,0,0,0"/>
                <w10:wrap type="through"/>
                <v:imagedata r:id="rId15" o:title=""/>
              </v:shape>
            </w:pict>
          </mc:Fallback>
        </mc:AlternateContent>
      </w:r>
      <w:r>
        <w:rPr>
          <w:sz w:val="24"/>
          <w:szCs w:val="24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0" w:bottom="1560" w:left="1701" w:header="1425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5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Helvetica Neue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  <w:ind w:left="4820"/>
      <w:rPr>
        <w:sz w:val="20"/>
        <w:szCs w:val="20"/>
      </w:rPr>
    </w:pPr>
    <w:r>
      <w:rPr>
        <w:sz w:val="20"/>
        <w:szCs w:val="20"/>
      </w:rPr>
      <w:t xml:space="preserve"> </w:t>
    </w:r>
    <w:r>
      <w:rPr>
        <w:sz w:val="20"/>
        <w:szCs w:val="20"/>
      </w:rPr>
    </w:r>
  </w:p>
  <w:tbl>
    <w:tblPr>
      <w:tblStyle w:val="787"/>
      <w:tblW w:w="0" w:type="auto"/>
      <w:tblInd w:w="-142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954"/>
      <w:gridCol w:w="4813"/>
    </w:tblGrid>
    <w:tr>
      <w:trPr>
        <w:trHeight w:val="855"/>
      </w:trPr>
      <w:tc>
        <w:tcPr>
          <w:tcW w:w="5954" w:type="dxa"/>
          <w:textDirection w:val="lrTb"/>
          <w:noWrap w:val="false"/>
        </w:tcPr>
        <w:p>
          <w:pPr>
            <w:pStyle w:val="783"/>
            <w:ind w:left="1165" w:firstLine="13"/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51660800" behindDoc="0" locked="0" layoutInCell="1" allowOverlap="1">
                    <wp:simplePos x="0" y="0"/>
                    <wp:positionH relativeFrom="column">
                      <wp:posOffset>561731</wp:posOffset>
                    </wp:positionH>
                    <wp:positionV relativeFrom="paragraph">
                      <wp:posOffset>-5079</wp:posOffset>
                    </wp:positionV>
                    <wp:extent cx="0" cy="619516"/>
                    <wp:effectExtent l="95250" t="95250" r="57150" b="47625"/>
                    <wp:wrapNone/>
                    <wp:docPr id="3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Pr id="0" name=""/>
                          <wps:cNvSpPr/>
                          <wps:spPr bwMode="auto">
                            <a:xfrm flipH="1">
                              <a:off x="0" y="0"/>
                              <a:ext cx="0" cy="619516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9556D"/>
                              </a:solidFill>
                            </a:ln>
                            <a:effectLst>
                              <a:outerShdw blurRad="50800" dist="38100" dir="13500000" algn="b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hape 2" o:spid="_x0000_s2" style="position:absolute;left:0;text-align:left;z-index:251660800;mso-wrap-distance-left:9.00pt;mso-wrap-distance-top:0.00pt;mso-wrap-distance-right:9.00pt;mso-wrap-distance-bottom:0.00pt;flip:x;visibility:visible;" from="44.2pt,-0.4pt" to="44.2pt,48.4pt" filled="f" strokecolor="#19556D" strokeweight="3.00pt">
                    <v:stroke dashstyle="solid"/>
                  </v:line>
                </w:pict>
              </mc:Fallback>
            </mc:AlternateContent>
          </w:r>
          <w:r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  <w:t xml:space="preserve">ООО «ПРОМВИЛЬ 36»</w:t>
          </w:r>
          <w:r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</w:r>
        </w:p>
        <w:p>
          <w:pPr>
            <w:pStyle w:val="783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ИНН 3663159224 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  <w:p>
          <w:pPr>
            <w:pStyle w:val="783"/>
            <w:ind w:left="1178"/>
            <w:tabs>
              <w:tab w:val="clear" w:pos="4677" w:leader="none"/>
              <w:tab w:val="right" w:pos="5738" w:leader="none"/>
              <w:tab w:val="clear" w:pos="9355" w:leader="none"/>
            </w:tabs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КПП 366301001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ab/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  <w:p>
          <w:pPr>
            <w:pStyle w:val="783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ОГРН 1223600009335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  <w:p>
          <w:pPr>
            <w:pStyle w:val="783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</w:tc>
      <w:tc>
        <w:tcPr>
          <w:tcW w:w="4813" w:type="dxa"/>
          <w:textDirection w:val="lrTb"/>
          <w:noWrap w:val="false"/>
        </w:tcPr>
        <w:p>
          <w:pPr>
            <w:pStyle w:val="783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тел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. 8 800 101 39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 90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r>
        </w:p>
        <w:p>
          <w:pPr>
            <w:pStyle w:val="783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Email: </w:t>
          </w:r>
          <w:hyperlink r:id="rId1" w:tooltip="mailto:rf80_11@mail.ru" w:history="1">
            <w:r>
              <w:rPr>
                <w:rStyle w:val="78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 xml:space="preserve">rf80_11@mail.ru</w:t>
            </w:r>
          </w:hyperlink>
          <w:r/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r>
        </w:p>
        <w:p>
          <w:pPr>
            <w:pStyle w:val="783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/>
          <w:hyperlink r:id="rId2" w:tooltip="http://www.promvil36.ru" w:history="1">
            <w:r>
              <w:rPr>
                <w:rStyle w:val="78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 xml:space="preserve">www.promvil36.ru</w:t>
            </w:r>
          </w:hyperlink>
          <w:r/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r>
        </w:p>
        <w:p>
          <w:pPr>
            <w:pStyle w:val="783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Адрес: 394029, г. Воронеж, ул. Меркулова, 7, пом. 22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</w:tc>
    </w:tr>
  </w:tbl>
  <w:p>
    <w:pPr>
      <w:pStyle w:val="78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  <w:ind w:left="-1560"/>
      <w:tabs>
        <w:tab w:val="clear" w:pos="4677" w:leader="none"/>
      </w:tabs>
      <w:rPr>
        <w:rFonts w:asciiTheme="minorHAnsi" w:hAnsiTheme="minorHAnsi" w:cstheme="minorHAnsi"/>
        <w:b/>
        <w:bCs/>
        <w:sz w:val="24"/>
        <w:szCs w:val="24"/>
      </w:rPr>
    </w:pPr>
    <w:r>
      <w:rPr>
        <w:b/>
        <w:bCs/>
        <w:sz w:val="24"/>
        <w:szCs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1655414</wp:posOffset>
              </wp:positionH>
              <wp:positionV relativeFrom="paragraph">
                <wp:posOffset>-779438</wp:posOffset>
              </wp:positionV>
              <wp:extent cx="4314825" cy="780869"/>
              <wp:effectExtent l="0" t="0" r="0" b="635"/>
              <wp:wrapNone/>
              <wp:docPr id="1" name="Рисунок 14591123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02684513" name="Рисунок 502684513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14825" cy="78086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8752;o:allowoverlap:true;o:allowincell:true;mso-position-horizontal-relative:page;margin-left:130.35pt;mso-position-horizontal:absolute;mso-position-vertical-relative:text;margin-top:-61.37pt;mso-position-vertical:absolute;width:339.75pt;height:61.49pt;mso-wrap-distance-left:9.00pt;mso-wrap-distance-top:0.00pt;mso-wrap-distance-right:9.00pt;mso-wrap-distance-bottom:0.00pt;" stroked="false">
              <v:path textboxrect="0,0,0,0"/>
              <v:imagedata r:id="rId1" o:title=""/>
            </v:shape>
          </w:pict>
        </mc:Fallback>
      </mc:AlternateContent>
    </w:r>
    <w:r>
      <w:rPr>
        <w:b/>
        <w:bCs/>
        <w:color w:val="1f4e79" w:themeColor="accent5" w:themeShade="80"/>
        <w:sz w:val="24"/>
        <w:szCs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776" behindDoc="0" locked="0" layoutInCell="1" allowOverlap="1">
              <wp:simplePos x="0" y="0"/>
              <wp:positionH relativeFrom="column">
                <wp:posOffset>-975360</wp:posOffset>
              </wp:positionH>
              <wp:positionV relativeFrom="paragraph">
                <wp:posOffset>123825</wp:posOffset>
              </wp:positionV>
              <wp:extent cx="7258050" cy="0"/>
              <wp:effectExtent l="76200" t="114300" r="38100" b="571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50000"/>
                          </a:schemeClr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shape 1" o:spid="_x0000_s1" style="position:absolute;left:0;text-align:left;z-index:251659776;mso-wrap-distance-left:9.00pt;mso-wrap-distance-top:0.00pt;mso-wrap-distance-right:9.00pt;mso-wrap-distance-bottom:0.00pt;visibility:visible;" from="-76.8pt,9.8pt" to="494.7pt,9.8pt" filled="f" strokecolor="#1F3963" strokeweight="3.00pt">
              <v:stroke dashstyle="solid"/>
            </v:line>
          </w:pict>
        </mc:Fallback>
      </mc:AlternateContent>
    </w:r>
    <w:r>
      <w:rPr>
        <w:rFonts w:asciiTheme="minorHAnsi" w:hAnsiTheme="minorHAnsi" w:cstheme="minorHAnsi"/>
        <w:b/>
        <w:bCs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79"/>
    <w:next w:val="77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8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79"/>
    <w:next w:val="77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8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79"/>
    <w:next w:val="77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8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79"/>
    <w:next w:val="77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8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79"/>
    <w:next w:val="77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8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79"/>
    <w:next w:val="77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8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79"/>
    <w:next w:val="77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8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79"/>
    <w:next w:val="77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8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79"/>
    <w:next w:val="77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8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79"/>
    <w:next w:val="77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80"/>
    <w:link w:val="34"/>
    <w:uiPriority w:val="10"/>
    <w:rPr>
      <w:sz w:val="48"/>
      <w:szCs w:val="48"/>
    </w:rPr>
  </w:style>
  <w:style w:type="paragraph" w:styleId="36">
    <w:name w:val="Subtitle"/>
    <w:basedOn w:val="779"/>
    <w:next w:val="77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80"/>
    <w:link w:val="36"/>
    <w:uiPriority w:val="11"/>
    <w:rPr>
      <w:sz w:val="24"/>
      <w:szCs w:val="24"/>
    </w:rPr>
  </w:style>
  <w:style w:type="paragraph" w:styleId="38">
    <w:name w:val="Quote"/>
    <w:basedOn w:val="779"/>
    <w:next w:val="77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79"/>
    <w:next w:val="77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80"/>
    <w:link w:val="783"/>
    <w:uiPriority w:val="99"/>
  </w:style>
  <w:style w:type="character" w:styleId="45">
    <w:name w:val="Footer Char"/>
    <w:basedOn w:val="780"/>
    <w:link w:val="785"/>
    <w:uiPriority w:val="99"/>
  </w:style>
  <w:style w:type="paragraph" w:styleId="46">
    <w:name w:val="Caption"/>
    <w:basedOn w:val="779"/>
    <w:next w:val="7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85"/>
    <w:uiPriority w:val="99"/>
  </w:style>
  <w:style w:type="table" w:styleId="49">
    <w:name w:val="Table Grid Light"/>
    <w:basedOn w:val="7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7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80"/>
    <w:uiPriority w:val="99"/>
    <w:unhideWhenUsed/>
    <w:rPr>
      <w:vertAlign w:val="superscript"/>
    </w:rPr>
  </w:style>
  <w:style w:type="paragraph" w:styleId="178">
    <w:name w:val="endnote text"/>
    <w:basedOn w:val="77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80"/>
    <w:uiPriority w:val="99"/>
    <w:semiHidden/>
    <w:unhideWhenUsed/>
    <w:rPr>
      <w:vertAlign w:val="superscript"/>
    </w:rPr>
  </w:style>
  <w:style w:type="paragraph" w:styleId="181">
    <w:name w:val="toc 1"/>
    <w:basedOn w:val="779"/>
    <w:next w:val="77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79"/>
    <w:next w:val="77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79"/>
    <w:next w:val="77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79"/>
    <w:next w:val="77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79"/>
    <w:next w:val="77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79"/>
    <w:next w:val="77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79"/>
    <w:next w:val="77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79"/>
    <w:next w:val="77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79"/>
    <w:next w:val="77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79"/>
    <w:next w:val="779"/>
    <w:uiPriority w:val="99"/>
    <w:unhideWhenUsed/>
    <w:pPr>
      <w:spacing w:after="0" w:afterAutospacing="0"/>
    </w:pPr>
  </w:style>
  <w:style w:type="paragraph" w:styleId="779" w:default="1">
    <w:name w:val="Normal"/>
    <w:qFormat/>
    <w:pPr>
      <w:spacing w:line="240" w:lineRule="auto"/>
    </w:pPr>
    <w:rPr>
      <w:rFonts w:ascii="Times New Roman" w:hAnsi="Times New Roman"/>
      <w:sz w:val="28"/>
    </w:rPr>
  </w:style>
  <w:style w:type="character" w:styleId="780" w:default="1">
    <w:name w:val="Default Paragraph Font"/>
    <w:uiPriority w:val="1"/>
    <w:semiHidden/>
    <w:unhideWhenUsed/>
  </w:style>
  <w:style w:type="table" w:styleId="7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2" w:default="1">
    <w:name w:val="No List"/>
    <w:uiPriority w:val="99"/>
    <w:semiHidden/>
    <w:unhideWhenUsed/>
  </w:style>
  <w:style w:type="paragraph" w:styleId="783">
    <w:name w:val="Header"/>
    <w:basedOn w:val="779"/>
    <w:link w:val="784"/>
    <w:uiPriority w:val="99"/>
    <w:unhideWhenUsed/>
    <w:pPr>
      <w:spacing w:after="0"/>
      <w:tabs>
        <w:tab w:val="center" w:pos="4677" w:leader="none"/>
        <w:tab w:val="right" w:pos="9355" w:leader="none"/>
      </w:tabs>
    </w:pPr>
  </w:style>
  <w:style w:type="character" w:styleId="784" w:customStyle="1">
    <w:name w:val="Верхний колонтитул Знак"/>
    <w:basedOn w:val="780"/>
    <w:link w:val="783"/>
    <w:uiPriority w:val="99"/>
    <w:rPr>
      <w:rFonts w:ascii="Times New Roman" w:hAnsi="Times New Roman"/>
      <w:sz w:val="28"/>
    </w:rPr>
  </w:style>
  <w:style w:type="paragraph" w:styleId="785">
    <w:name w:val="Footer"/>
    <w:basedOn w:val="779"/>
    <w:link w:val="786"/>
    <w:uiPriority w:val="99"/>
    <w:unhideWhenUsed/>
    <w:pPr>
      <w:spacing w:after="0"/>
      <w:tabs>
        <w:tab w:val="center" w:pos="4677" w:leader="none"/>
        <w:tab w:val="right" w:pos="9355" w:leader="none"/>
      </w:tabs>
    </w:pPr>
  </w:style>
  <w:style w:type="character" w:styleId="786" w:customStyle="1">
    <w:name w:val="Нижний колонтитул Знак"/>
    <w:basedOn w:val="780"/>
    <w:link w:val="785"/>
    <w:uiPriority w:val="99"/>
    <w:rPr>
      <w:rFonts w:ascii="Times New Roman" w:hAnsi="Times New Roman"/>
      <w:sz w:val="28"/>
    </w:rPr>
  </w:style>
  <w:style w:type="table" w:styleId="787">
    <w:name w:val="Table Grid"/>
    <w:basedOn w:val="78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88">
    <w:name w:val="Hyperlink"/>
    <w:basedOn w:val="780"/>
    <w:uiPriority w:val="99"/>
    <w:unhideWhenUsed/>
    <w:rPr>
      <w:color w:val="0563c1" w:themeColor="hyperlink"/>
      <w:u w:val="single"/>
    </w:rPr>
  </w:style>
  <w:style w:type="character" w:styleId="789">
    <w:name w:val="Unresolved Mention"/>
    <w:basedOn w:val="780"/>
    <w:uiPriority w:val="99"/>
    <w:semiHidden/>
    <w:unhideWhenUsed/>
    <w:rPr>
      <w:color w:val="605e5c"/>
      <w:shd w:val="clear" w:color="auto" w:fill="e1dfdd"/>
    </w:rPr>
  </w:style>
  <w:style w:type="paragraph" w:styleId="790">
    <w:name w:val="Normal (Web)"/>
    <w:basedOn w:val="779"/>
    <w:uiPriority w:val="99"/>
    <w:semiHidden/>
    <w:unhideWhenUsed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  <w14:ligatures w14:val="none"/>
    </w:rPr>
  </w:style>
  <w:style w:type="paragraph" w:styleId="791">
    <w:name w:val="List Paragraph"/>
    <w:basedOn w:val="779"/>
    <w:uiPriority w:val="34"/>
    <w:qFormat/>
    <w:pPr>
      <w:contextualSpacing/>
      <w:ind w:left="720"/>
    </w:pPr>
  </w:style>
  <w:style w:type="table" w:styleId="792" w:customStyle="1">
    <w:name w:val="Table 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 Unicode MS" w:cs="Times New Roman"/>
      <w:sz w:val="20"/>
      <w:szCs w:val="20"/>
      <w:lang w:eastAsia="ru-RU"/>
      <w14:ligatures w14:val="none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793" w:customStyle="1">
    <w:name w:val="Стиль таблицы 2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Helvetica Neue" w:hAnsi="Helvetica Neue" w:eastAsia="Arial Unicode MS" w:cs="Arial Unicode MS"/>
      <w:color w:val="000000"/>
      <w:sz w:val="20"/>
      <w:szCs w:val="20"/>
      <w:lang w:eastAsia="ru-RU"/>
      <w14:ligatures w14:val="none"/>
    </w:rPr>
  </w:style>
  <w:style w:type="character" w:styleId="794" w:customStyle="1">
    <w:name w:val="markedcontent"/>
    <w:basedOn w:val="780"/>
  </w:style>
  <w:style w:type="paragraph" w:styleId="795" w:customStyle="1">
    <w:name w:val="По умолчанию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Helvetica Neue" w:hAnsi="Helvetica Neue" w:eastAsia="Arial Unicode MS" w:cs="Arial Unicode MS"/>
      <w:color w:val="000000"/>
      <w:lang w:eastAsia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png"/><Relationship Id="rId15" Type="http://schemas.openxmlformats.org/officeDocument/2006/relationships/image" Target="media/image5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rf80_11@mail.ru" TargetMode="External"/><Relationship Id="rId2" Type="http://schemas.openxmlformats.org/officeDocument/2006/relationships/hyperlink" Target="http://www.promvil36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50EA3-81A4-48E1-B11D-77EEF662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Алина Мартынцова</cp:lastModifiedBy>
  <cp:revision>5</cp:revision>
  <dcterms:created xsi:type="dcterms:W3CDTF">2023-04-28T14:36:00Z</dcterms:created>
  <dcterms:modified xsi:type="dcterms:W3CDTF">2024-05-17T13:20:47Z</dcterms:modified>
</cp:coreProperties>
</file>