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142"/>
        <w:jc w:val="center"/>
        <w:spacing w:after="0"/>
        <w:rPr>
          <w:rFonts w:hint="default"/>
          <w:b/>
          <w:bCs/>
          <w:vertAlign w:val="superscript"/>
          <w:lang w:val="ru-RU"/>
        </w:rPr>
      </w:pPr>
      <w:r>
        <w:rPr>
          <w:b/>
          <w:bCs/>
        </w:rPr>
        <w:t xml:space="preserve">Бункер </w:t>
      </w:r>
      <w:r>
        <w:rPr>
          <w:b/>
          <w:bCs/>
          <w:lang w:val="ru-RU"/>
        </w:rPr>
        <w:t xml:space="preserve">накопитель</w:t>
      </w:r>
      <w:r>
        <w:rPr>
          <w:rFonts w:hint="default"/>
          <w:b/>
          <w:bCs/>
          <w:lang w:val="ru-RU"/>
        </w:rPr>
        <w:t xml:space="preserve"> на 4 выхода</w:t>
      </w:r>
      <w:r>
        <w:rPr>
          <w:rFonts w:hint="default"/>
          <w:b/>
          <w:bCs/>
          <w:vertAlign w:val="superscript"/>
          <w:lang w:val="ru-RU"/>
        </w:rPr>
      </w:r>
    </w:p>
    <w:p>
      <w:pPr>
        <w:ind w:firstLine="142"/>
        <w:jc w:val="center"/>
        <w:spacing w:after="0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184150</wp:posOffset>
                </wp:positionV>
                <wp:extent cx="5939790" cy="4455160"/>
                <wp:effectExtent l="0" t="0" r="3810" b="15240"/>
                <wp:wrapTopAndBottom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39790" cy="445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3360;o:allowoverlap:true;o:allowincell:true;mso-position-horizontal-relative:text;margin-left:-15.80pt;mso-position-horizontal:absolute;mso-position-vertical-relative:text;margin-top:14.50pt;mso-position-vertical:absolute;width:467.70pt;height:350.80pt;mso-wrap-distance-left:9.00pt;mso-wrap-distance-top:0.00pt;mso-wrap-distance-right:9.00pt;mso-wrap-distance-bottom:0.00pt;" stroked="f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sz w:val="24"/>
          <w:szCs w:val="24"/>
        </w:rPr>
      </w:r>
    </w:p>
    <w:p>
      <w:pPr>
        <w:ind w:left="72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708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Бункер </w:t>
      </w:r>
      <w:r>
        <w:rPr>
          <w:sz w:val="24"/>
          <w:szCs w:val="24"/>
          <w:lang w:val="ru-RU"/>
        </w:rPr>
        <w:t xml:space="preserve">накопитель</w:t>
      </w:r>
      <w:r>
        <w:rPr>
          <w:rFonts w:hint="default"/>
          <w:sz w:val="24"/>
          <w:szCs w:val="24"/>
          <w:lang w:val="ru-RU"/>
        </w:rPr>
        <w:t xml:space="preserve"> на 4 выхода</w:t>
      </w:r>
      <w:r>
        <w:rPr>
          <w:sz w:val="24"/>
          <w:szCs w:val="24"/>
        </w:rPr>
        <w:t xml:space="preserve"> предназначен для </w:t>
      </w:r>
      <w:r>
        <w:rPr>
          <w:sz w:val="24"/>
          <w:szCs w:val="24"/>
          <w:lang w:val="ru-RU"/>
        </w:rPr>
        <w:t xml:space="preserve">обьемного</w:t>
      </w:r>
      <w:r>
        <w:rPr>
          <w:rFonts w:hint="default"/>
          <w:sz w:val="24"/>
          <w:szCs w:val="24"/>
          <w:lang w:val="ru-RU"/>
        </w:rPr>
        <w:t xml:space="preserve"> накопления и равномерной раздачи материала для своевре</w:t>
      </w:r>
      <w:r>
        <w:rPr>
          <w:rFonts w:hint="default"/>
          <w:sz w:val="24"/>
          <w:szCs w:val="24"/>
          <w:lang w:val="ru-RU"/>
        </w:rPr>
        <w:t xml:space="preserve">менного заполнения питателей. Механизм управления - шнек винтовой, расположенный в месте выгрузки и имеет левое и правое направление движения. Благодаря чему при вращении редуктора в одну сторону обеспечивается растяжка и подача материала в разные стороны.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Мотор</w:t>
      </w:r>
      <w:r>
        <w:rPr>
          <w:rFonts w:hint="default"/>
          <w:sz w:val="24"/>
          <w:szCs w:val="24"/>
          <w:lang w:val="ru-RU"/>
        </w:rPr>
        <w:t xml:space="preserve"> - редуктор 2,2 кВт</w:t>
      </w:r>
      <w:r>
        <w:rPr>
          <w:rFonts w:hint="default"/>
          <w:sz w:val="24"/>
          <w:szCs w:val="24"/>
          <w:lang w:val="ru-RU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spacing w:after="100"/>
        <w:rPr>
          <w:sz w:val="22"/>
        </w:rPr>
      </w:pPr>
      <w:r>
        <w:rPr>
          <w:b/>
          <w:sz w:val="22"/>
        </w:rPr>
        <w:t xml:space="preserve">ЦЕНА ИЗДЕЛИЯ: </w:t>
      </w:r>
      <w:r>
        <w:rPr>
          <w:rFonts w:hint="default"/>
          <w:b/>
          <w:bCs/>
          <w:sz w:val="22"/>
          <w:lang w:val="ru-RU"/>
        </w:rPr>
        <w:t xml:space="preserve">850 </w:t>
      </w:r>
      <w:r>
        <w:rPr>
          <w:b/>
          <w:sz w:val="22"/>
        </w:rPr>
        <w:t xml:space="preserve">000 руб. без НДС</w:t>
      </w:r>
      <w:r>
        <w:rPr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/>
      <w:bookmarkStart w:id="0" w:name="_GoBack"/>
      <w:r/>
      <w:bookmarkEnd w:id="0"/>
      <w:r/>
      <w:r>
        <w:rPr>
          <w:rFonts w:cs="Times New Roman"/>
          <w:sz w:val="22"/>
        </w:rPr>
      </w:r>
    </w:p>
    <w:p>
      <w:pPr>
        <w:jc w:val="center"/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УСЛОВИЯ ПОСТАВКИ</w:t>
      </w:r>
      <w:r>
        <w:rPr>
          <w:rFonts w:cs="Times New Roman"/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</w:t>
      </w:r>
      <w:r>
        <w:rPr>
          <w:rFonts w:hint="default"/>
          <w:sz w:val="22"/>
          <w:lang w:val="ru-RU"/>
        </w:rPr>
        <w:t xml:space="preserve">65 </w:t>
      </w:r>
      <w:r>
        <w:rPr>
          <w:sz w:val="22"/>
        </w:rPr>
        <w:t xml:space="preserve">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48895</wp:posOffset>
                </wp:positionV>
                <wp:extent cx="1434465" cy="1326515"/>
                <wp:effectExtent l="0" t="0" r="13335" b="19685"/>
                <wp:wrapNone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158990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2336;o:allowoverlap:true;o:allowincell:true;mso-position-horizontal-relative:text;margin-left:180.45pt;mso-position-horizontal:absolute;mso-position-vertical-relative:text;margin-top:3.85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Гарантия на продукцию: 12 месяцев (при условии правильной эксплуатации)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120" w:lineRule="auto"/>
        <w:rPr>
          <w:b/>
          <w:bCs/>
          <w:sz w:val="22"/>
        </w:rPr>
      </w:pPr>
      <w:r>
        <w:rPr>
          <w:b/>
          <w:bCs/>
          <w:sz w:val="22"/>
        </w:rPr>
      </w:r>
      <w:r>
        <w:rPr>
          <w:b/>
          <w:bCs/>
          <w:sz w:val="22"/>
        </w:rPr>
      </w:r>
    </w:p>
    <w:p>
      <w:pPr>
        <w:jc w:val="both"/>
        <w:spacing w:after="0" w:line="360" w:lineRule="auto"/>
        <w:rPr>
          <w:sz w:val="22"/>
        </w:rPr>
      </w:pPr>
      <w:r>
        <w:rPr>
          <w:sz w:val="22"/>
        </w:rPr>
        <w:t xml:space="preserve">Генеральный директор ООО «Промвиль 36»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В.И.Цыхонь</w:t>
      </w:r>
      <w:r>
        <w:rPr>
          <w:sz w:val="22"/>
        </w:rPr>
      </w:r>
    </w:p>
    <w:p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83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0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561340</wp:posOffset>
                    </wp:positionH>
                    <wp:positionV relativeFrom="paragraph">
                      <wp:posOffset>-4445</wp:posOffset>
                    </wp:positionV>
                    <wp:extent cx="0" cy="619760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hape 2" o:spid="_x0000_s2" style="position:absolute;left:0;text-align:left;z-index:251661312;mso-wrap-distance-left:9.00pt;mso-wrap-distance-top:0.00pt;mso-wrap-distance-right:9.00pt;mso-wrap-distance-bottom:0.00pt;flip:x;visibility:visible;" from="44.2pt,-0.3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0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Email: </w:t>
          </w:r>
          <w:r>
            <w:fldChar w:fldCharType="begin"/>
          </w:r>
          <w:r>
            <w:instrText xml:space="preserve"> HYPERLINK "mailto:rf80_11@mail.ru"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rf80_11@mail.ru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fldChar w:fldCharType="begin"/>
          </w:r>
          <w:r>
            <w:instrText xml:space="preserve"> HYPERLINK "http://www.promvil36.ru" </w:instrText>
          </w:r>
          <w:r>
            <w:fldChar w:fldCharType="separate"/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www.promvil36.ru</w:t>
          </w:r>
          <w:r>
            <w:rPr>
              <w:rStyle w:val="781"/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fldChar w:fldCharType="end"/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0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  <w:r/>
    </w:p>
  </w:footnote>
  <w:footnote w:type="continuationSeparator" w:id="0">
    <w:p>
      <w:pPr>
        <w:spacing w:before="0"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1654810</wp:posOffset>
              </wp:positionH>
              <wp:positionV relativeFrom="paragraph">
                <wp:posOffset>-779145</wp:posOffset>
              </wp:positionV>
              <wp:extent cx="4314825" cy="781050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59112333" name="Рисунок 145911233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page;margin-left:130.30pt;mso-position-horizontal:absolute;mso-position-vertical-relative:text;margin-top:-61.35pt;mso-position-vertical:absolute;width:339.75pt;height:61.50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0288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76"/>
    <w:next w:val="7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77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76"/>
    <w:next w:val="77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7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76"/>
    <w:next w:val="7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7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76"/>
    <w:next w:val="7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7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76"/>
    <w:next w:val="7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7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76"/>
    <w:next w:val="7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76"/>
    <w:next w:val="7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76"/>
    <w:next w:val="7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76"/>
    <w:next w:val="7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76"/>
    <w:next w:val="7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77"/>
    <w:link w:val="34"/>
    <w:uiPriority w:val="10"/>
    <w:rPr>
      <w:sz w:val="48"/>
      <w:szCs w:val="48"/>
    </w:rPr>
  </w:style>
  <w:style w:type="paragraph" w:styleId="36">
    <w:name w:val="Subtitle"/>
    <w:basedOn w:val="776"/>
    <w:next w:val="7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77"/>
    <w:link w:val="36"/>
    <w:uiPriority w:val="11"/>
    <w:rPr>
      <w:sz w:val="24"/>
      <w:szCs w:val="24"/>
    </w:rPr>
  </w:style>
  <w:style w:type="paragraph" w:styleId="38">
    <w:name w:val="Quote"/>
    <w:basedOn w:val="776"/>
    <w:next w:val="7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76"/>
    <w:next w:val="7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77"/>
    <w:link w:val="780"/>
    <w:uiPriority w:val="99"/>
  </w:style>
  <w:style w:type="character" w:styleId="45">
    <w:name w:val="Footer Char"/>
    <w:basedOn w:val="777"/>
    <w:link w:val="779"/>
    <w:uiPriority w:val="99"/>
  </w:style>
  <w:style w:type="paragraph" w:styleId="46">
    <w:name w:val="Caption"/>
    <w:basedOn w:val="776"/>
    <w:next w:val="7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9"/>
    <w:uiPriority w:val="99"/>
  </w:style>
  <w:style w:type="table" w:styleId="49">
    <w:name w:val="Table Grid Light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77"/>
    <w:uiPriority w:val="99"/>
    <w:unhideWhenUsed/>
    <w:rPr>
      <w:vertAlign w:val="superscript"/>
    </w:rPr>
  </w:style>
  <w:style w:type="paragraph" w:styleId="178">
    <w:name w:val="endnote text"/>
    <w:basedOn w:val="7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77"/>
    <w:uiPriority w:val="99"/>
    <w:semiHidden/>
    <w:unhideWhenUsed/>
    <w:rPr>
      <w:vertAlign w:val="superscript"/>
    </w:rPr>
  </w:style>
  <w:style w:type="paragraph" w:styleId="181">
    <w:name w:val="toc 1"/>
    <w:basedOn w:val="776"/>
    <w:next w:val="7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76"/>
    <w:next w:val="7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76"/>
    <w:next w:val="7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76"/>
    <w:next w:val="7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76"/>
    <w:next w:val="7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76"/>
    <w:next w:val="7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76"/>
    <w:next w:val="7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76"/>
    <w:next w:val="7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76"/>
    <w:next w:val="7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76"/>
    <w:next w:val="776"/>
    <w:uiPriority w:val="99"/>
    <w:unhideWhenUsed/>
    <w:pPr>
      <w:spacing w:after="0" w:afterAutospacing="0"/>
    </w:pPr>
  </w:style>
  <w:style w:type="paragraph" w:styleId="776" w:default="1">
    <w:name w:val="Normal"/>
    <w:uiPriority w:val="0"/>
    <w:qFormat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  <w14:ligatures w14:val="standardContextual"/>
    </w:rPr>
  </w:style>
  <w:style w:type="character" w:styleId="777" w:default="1">
    <w:name w:val="Default Paragraph Font"/>
    <w:uiPriority w:val="1"/>
    <w:semiHidden/>
    <w:unhideWhenUsed/>
    <w:qFormat/>
  </w:style>
  <w:style w:type="table" w:styleId="77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779">
    <w:name w:val="Footer"/>
    <w:basedOn w:val="776"/>
    <w:link w:val="785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paragraph" w:styleId="780">
    <w:name w:val="Header"/>
    <w:basedOn w:val="776"/>
    <w:link w:val="784"/>
    <w:uiPriority w:val="99"/>
    <w:unhideWhenUsed/>
    <w:qFormat/>
    <w:pPr>
      <w:spacing w:after="0"/>
      <w:tabs>
        <w:tab w:val="center" w:pos="4677" w:leader="none"/>
        <w:tab w:val="right" w:pos="9355" w:leader="none"/>
      </w:tabs>
    </w:pPr>
  </w:style>
  <w:style w:type="character" w:styleId="781">
    <w:name w:val="Hyperlink"/>
    <w:basedOn w:val="777"/>
    <w:uiPriority w:val="99"/>
    <w:unhideWhenUsed/>
    <w:qFormat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82">
    <w:name w:val="Normal (Web)"/>
    <w:basedOn w:val="776"/>
    <w:uiPriority w:val="99"/>
    <w:semiHidden/>
    <w:unhideWhenUsed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table" w:styleId="783">
    <w:name w:val="Table Grid"/>
    <w:basedOn w:val="778"/>
    <w:uiPriority w:val="3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84" w:customStyle="1">
    <w:name w:val="Верхний колонтитул Знак"/>
    <w:basedOn w:val="777"/>
    <w:link w:val="780"/>
    <w:uiPriority w:val="99"/>
    <w:qFormat/>
    <w:rPr>
      <w:rFonts w:ascii="Times New Roman" w:hAnsi="Times New Roman"/>
      <w:sz w:val="28"/>
    </w:rPr>
  </w:style>
  <w:style w:type="character" w:styleId="785" w:customStyle="1">
    <w:name w:val="Нижний колонтитул Знак"/>
    <w:basedOn w:val="777"/>
    <w:link w:val="779"/>
    <w:uiPriority w:val="99"/>
    <w:qFormat/>
    <w:rPr>
      <w:rFonts w:ascii="Times New Roman" w:hAnsi="Times New Roman"/>
      <w:sz w:val="28"/>
    </w:rPr>
  </w:style>
  <w:style w:type="character" w:styleId="786" w:customStyle="1">
    <w:name w:val="Unresolved Mention"/>
    <w:basedOn w:val="777"/>
    <w:uiPriority w:val="99"/>
    <w:semiHidden/>
    <w:unhideWhenUsed/>
    <w:qFormat/>
    <w:rPr>
      <w:color w:val="605e5c"/>
      <w:shd w:val="clear" w:color="auto" w:fill="e1dfdd"/>
    </w:rPr>
  </w:style>
  <w:style w:type="paragraph" w:styleId="787">
    <w:name w:val="List Paragraph"/>
    <w:basedOn w:val="776"/>
    <w:uiPriority w:val="34"/>
    <w:qFormat/>
    <w:pPr>
      <w:contextualSpacing/>
      <w:ind w:left="720"/>
    </w:pPr>
  </w:style>
  <w:style w:type="table" w:styleId="788" w:customStyle="1">
    <w:name w:val="Table Normal1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Arial Unicode MS" w:cs="Times New Roman"/>
      <w:sz w:val="20"/>
      <w:szCs w:val="20"/>
      <w:lang w:eastAsia="ru-RU"/>
      <w14:ligatures w14:val="none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89" w:customStyle="1">
    <w:name w:val="Стиль таблицы 2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0"/>
      <w:szCs w:val="20"/>
      <w:lang w:val="ru-RU" w:eastAsia="ru-RU" w:bidi="ar-SA"/>
      <w14:ligatures w14:val="none"/>
    </w:rPr>
  </w:style>
  <w:style w:type="character" w:styleId="790" w:customStyle="1">
    <w:name w:val="markedcontent"/>
    <w:basedOn w:val="777"/>
    <w:uiPriority w:val="0"/>
    <w:qFormat/>
  </w:style>
  <w:style w:type="paragraph" w:styleId="791" w:customStyle="1">
    <w:name w:val="По умолчанию"/>
    <w:uiPriority w:val="0"/>
    <w:qFormat/>
    <w:pPr>
      <w:spacing w:after="0" w:line="240" w:lineRule="auto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  <w14:ligatures w14:val="none"/>
    </w:rPr>
  </w:style>
  <w:style w:type="paragraph" w:styleId="792">
    <w:name w:val="No Spacing"/>
    <w:basedOn w:val="776"/>
    <w:uiPriority w:val="1"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  <w14:ligatures w14:val="none"/>
    </w:rPr>
  </w:style>
  <w:style w:type="numbering" w:styleId="92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Алина Мартынцова</cp:lastModifiedBy>
  <cp:revision>5</cp:revision>
  <dcterms:created xsi:type="dcterms:W3CDTF">2023-04-28T20:36:00Z</dcterms:created>
  <dcterms:modified xsi:type="dcterms:W3CDTF">2024-05-17T13:12:29Z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