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142"/>
        <w:jc w:val="both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КОММЕРЧЕСКОЕ ПРЕДЛОЖЕНИЕ</w:t>
      </w:r>
      <w:r>
        <w:rPr>
          <w:b/>
          <w:sz w:val="24"/>
          <w:szCs w:val="24"/>
        </w:rPr>
      </w:r>
    </w:p>
    <w:p>
      <w:pPr>
        <w:ind w:firstLine="142"/>
        <w:jc w:val="both"/>
        <w:spacing w:after="0"/>
        <w:rPr>
          <w:b/>
        </w:rPr>
      </w:pPr>
      <w:r>
        <w:rPr>
          <w:b/>
        </w:rPr>
      </w:r>
      <w:r>
        <w:rPr>
          <w:b/>
        </w:rPr>
      </w:r>
    </w:p>
    <w:p>
      <w:pPr>
        <w:ind w:firstLine="142"/>
        <w:jc w:val="center"/>
        <w:spacing w:after="0"/>
        <w:rPr>
          <w:rFonts w:hint="default"/>
          <w:b/>
          <w:bCs/>
          <w:lang w:val="ru-RU"/>
        </w:rPr>
      </w:pPr>
      <w:r>
        <w:rPr>
          <w:b/>
          <w:bCs/>
          <w:lang w:val="ru-RU"/>
        </w:rPr>
        <w:t xml:space="preserve">Общее</w:t>
      </w:r>
      <w:r>
        <w:rPr>
          <w:rFonts w:hint="default"/>
          <w:b/>
          <w:bCs/>
          <w:lang w:val="ru-RU"/>
        </w:rPr>
        <w:t xml:space="preserve"> предложение для завершающего узла производства: </w:t>
      </w:r>
      <w:r>
        <w:rPr>
          <w:rFonts w:hint="default"/>
          <w:b/>
          <w:bCs/>
          <w:lang w:val="ru-RU"/>
        </w:rPr>
      </w:r>
    </w:p>
    <w:p>
      <w:pPr>
        <w:ind w:firstLine="142"/>
        <w:jc w:val="center"/>
        <w:spacing w:after="0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 xml:space="preserve">торцовка, система дымоудаления</w:t>
      </w:r>
      <w:r>
        <w:rPr>
          <w:rFonts w:hint="default"/>
          <w:b/>
          <w:bCs/>
          <w:lang w:val="ru-RU"/>
        </w:rPr>
      </w:r>
    </w:p>
    <w:p>
      <w:pPr>
        <w:ind w:firstLine="142"/>
        <w:jc w:val="center"/>
        <w:spacing w:after="0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</w:r>
      <w:r>
        <w:rPr>
          <w:rFonts w:hint="default"/>
          <w:b/>
          <w:bCs/>
          <w:lang w:val="ru-RU"/>
        </w:rPr>
      </w:r>
    </w:p>
    <w:p>
      <w:pPr>
        <w:jc w:val="both"/>
        <w:spacing w:after="0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 xml:space="preserve">В производственный комплекс входит:</w:t>
      </w:r>
      <w:r>
        <w:rPr>
          <w:rFonts w:hint="default"/>
          <w:sz w:val="24"/>
          <w:szCs w:val="24"/>
          <w:lang w:val="ru-RU"/>
        </w:rPr>
      </w:r>
    </w:p>
    <w:p>
      <w:pPr>
        <w:jc w:val="both"/>
        <w:spacing w:after="0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</w:r>
      <w:r>
        <w:rPr>
          <w:rFonts w:hint="default"/>
          <w:sz w:val="24"/>
          <w:szCs w:val="24"/>
          <w:lang w:val="ru-RU"/>
        </w:rPr>
      </w:r>
    </w:p>
    <w:tbl>
      <w:tblPr>
        <w:tblStyle w:val="780"/>
        <w:tblW w:w="9356" w:type="dxa"/>
        <w:tblInd w:w="-5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dd4e9"/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4A0" w:firstRow="1" w:lastRow="0" w:firstColumn="1" w:lastColumn="0" w:noHBand="0" w:noVBand="1"/>
      </w:tblPr>
      <w:tblGrid>
        <w:gridCol w:w="537"/>
        <w:gridCol w:w="881"/>
        <w:gridCol w:w="2835"/>
        <w:gridCol w:w="992"/>
        <w:gridCol w:w="1843"/>
        <w:gridCol w:w="2268"/>
      </w:tblGrid>
      <w:tr>
        <w:trPr>
          <w:trHeight w:val="583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537" w:type="dxa"/>
            <w:textDirection w:val="lrTb"/>
            <w:noWrap w:val="false"/>
          </w:tcPr>
          <w:p>
            <w:pPr>
              <w:jc w:val="center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п/п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81" w:type="dxa"/>
            <w:textDirection w:val="lrTb"/>
            <w:noWrap w:val="false"/>
          </w:tcPr>
          <w:p>
            <w:pPr>
              <w:jc w:val="center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Код ОКДП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textDirection w:val="lrTb"/>
            <w:noWrap w:val="false"/>
          </w:tcPr>
          <w:p>
            <w:pPr>
              <w:jc w:val="center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товара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единиц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Цена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за единицу, руб.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Стоимость, 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рублей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583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537" w:type="dxa"/>
            <w:textDirection w:val="lrTb"/>
            <w:noWrap w:val="false"/>
          </w:tcPr>
          <w:p>
            <w:pPr>
              <w:jc w:val="center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81" w:type="dxa"/>
            <w:textDirection w:val="lrTb"/>
            <w:noWrap w:val="false"/>
          </w:tcPr>
          <w:p>
            <w:pPr>
              <w:jc w:val="center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textDirection w:val="lrTb"/>
            <w:noWrap w:val="false"/>
          </w:tcPr>
          <w:p>
            <w:pPr>
              <w:ind w:left="136"/>
              <w:jc w:val="left"/>
              <w:spacing w:after="0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 xml:space="preserve">Автоматическая торцовка брикета и дымоудоления* </w:t>
            </w:r>
            <w:r>
              <w:rPr>
                <w:rFonts w:hint="default"/>
                <w:sz w:val="24"/>
                <w:szCs w:val="24"/>
                <w:lang w:val="en-US"/>
              </w:rPr>
            </w:r>
          </w:p>
          <w:p>
            <w:pPr>
              <w:ind w:left="136"/>
              <w:jc w:val="left"/>
              <w:spacing w:after="0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 xml:space="preserve">АТБ</w:t>
            </w:r>
            <w:r>
              <w:rPr>
                <w:rFonts w:hint="default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/>
              <w:rPr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 xml:space="preserve">1</w:t>
            </w:r>
            <w:r>
              <w:rPr>
                <w:sz w:val="24"/>
                <w:szCs w:val="24"/>
              </w:rPr>
              <w:t xml:space="preserve"> шт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ind w:right="276"/>
              <w:jc w:val="right"/>
              <w:spacing w:after="0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 xml:space="preserve">845 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000,00</w:t>
            </w:r>
            <w:r>
              <w:rPr>
                <w:rFonts w:hint="default"/>
                <w:sz w:val="24"/>
                <w:szCs w:val="24"/>
                <w:lang w:val="ru-RU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ind w:right="276"/>
              <w:jc w:val="right"/>
              <w:spacing w:after="0"/>
              <w:rPr>
                <w:rFonts w:hint="default" w:ascii="Times New Roman" w:hAnsi="Times New Roman" w:eastAsiaTheme="minorHAnsi" w:cstheme="minorBidi"/>
                <w:sz w:val="24"/>
                <w:szCs w:val="24"/>
                <w:lang w:val="ru-RU" w:eastAsia="en-US" w:bidi="ar-SA"/>
                <w14:ligatures w14:val="standardContextual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 xml:space="preserve">845 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000,00</w:t>
            </w:r>
            <w:r>
              <w:rPr>
                <w:rFonts w:hint="default" w:ascii="Times New Roman" w:hAnsi="Times New Roman" w:eastAsiaTheme="minorHAnsi" w:cstheme="minorBidi"/>
                <w:sz w:val="24"/>
                <w:szCs w:val="24"/>
                <w:lang w:val="ru-RU" w:eastAsia="en-US" w:bidi="ar-SA"/>
                <w14:ligatures w14:val="standardContextual"/>
              </w:rPr>
            </w:r>
          </w:p>
        </w:tc>
      </w:tr>
      <w:tr>
        <w:trPr>
          <w:trHeight w:val="265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537" w:type="dxa"/>
            <w:textDirection w:val="lrTb"/>
            <w:noWrap w:val="false"/>
          </w:tcPr>
          <w:p>
            <w:pPr>
              <w:spacing w:after="0"/>
            </w:pPr>
            <w:r/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81" w:type="dxa"/>
            <w:textDirection w:val="lrTb"/>
            <w:noWrap w:val="false"/>
          </w:tcPr>
          <w:p>
            <w:pPr>
              <w:spacing w:after="0"/>
            </w:pPr>
            <w:r/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textDirection w:val="lrTb"/>
            <w:noWrap w:val="false"/>
          </w:tcPr>
          <w:p>
            <w:pPr>
              <w:ind w:left="136" w:right="276"/>
              <w:jc w:val="righ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ИТОГО без НДС:</w:t>
            </w:r>
            <w:r>
              <w:rPr>
                <w:b/>
                <w:bCs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/>
            </w:pPr>
            <w:r/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spacing w:after="0"/>
            </w:pPr>
            <w:r/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ind w:right="295"/>
              <w:jc w:val="right"/>
              <w:spacing w:after="0"/>
              <w:rPr>
                <w:rFonts w:hint="default"/>
                <w:b/>
                <w:bCs/>
                <w:lang w:val="ru-RU"/>
              </w:rPr>
            </w:pPr>
            <w:r>
              <w:rPr>
                <w:rFonts w:hint="default"/>
                <w:b/>
                <w:bCs/>
                <w:lang w:val="en-US"/>
              </w:rPr>
              <w:t xml:space="preserve">845</w:t>
            </w:r>
            <w:r>
              <w:rPr>
                <w:rFonts w:hint="default"/>
                <w:b/>
                <w:bCs/>
                <w:lang w:val="ru-RU"/>
              </w:rPr>
              <w:t xml:space="preserve"> 000,00</w:t>
            </w:r>
            <w:r>
              <w:rPr>
                <w:rFonts w:hint="default"/>
                <w:b/>
                <w:bCs/>
                <w:lang w:val="ru-RU"/>
              </w:rPr>
            </w:r>
          </w:p>
        </w:tc>
      </w:tr>
    </w:tbl>
    <w:p>
      <w:pPr>
        <w:jc w:val="both"/>
        <w:spacing w:after="0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</w:r>
      <w:r>
        <w:rPr>
          <w:rFonts w:hint="default"/>
          <w:sz w:val="24"/>
          <w:szCs w:val="24"/>
          <w:lang w:val="ru-RU"/>
        </w:rPr>
      </w:r>
    </w:p>
    <w:p>
      <w:pPr>
        <w:ind w:firstLine="708"/>
        <w:jc w:val="both"/>
        <w:spacing w:after="0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en-US"/>
        </w:rPr>
        <w:t xml:space="preserve">*</w:t>
      </w:r>
      <w:r>
        <w:rPr>
          <w:rFonts w:hint="default"/>
          <w:sz w:val="24"/>
          <w:szCs w:val="24"/>
          <w:lang w:val="ru-RU"/>
        </w:rPr>
        <w:t xml:space="preserve">В системе дымоудаления трубопроводная часть от системы аспирации до потолка здания в стоимость не входит.</w:t>
      </w:r>
      <w:r>
        <w:rPr>
          <w:rFonts w:hint="default"/>
          <w:sz w:val="24"/>
          <w:szCs w:val="24"/>
          <w:lang w:val="ru-RU"/>
        </w:rPr>
      </w:r>
    </w:p>
    <w:p>
      <w:pPr>
        <w:ind w:firstLine="708"/>
        <w:jc w:val="both"/>
        <w:spacing w:after="0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</w:r>
      <w:r>
        <w:rPr>
          <w:rFonts w:hint="default"/>
          <w:sz w:val="24"/>
          <w:szCs w:val="24"/>
          <w:lang w:val="ru-RU"/>
        </w:rPr>
      </w:r>
    </w:p>
    <w:p>
      <w:pPr>
        <w:ind w:firstLine="708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Оборудование изготавливается по техническим условиям, соответствует требованиям технического регламента таможенного союза и подтверждена декларацией соответствия (прилагается к данному КП).</w:t>
      </w:r>
      <w:r>
        <w:rPr>
          <w:sz w:val="24"/>
          <w:szCs w:val="24"/>
        </w:rPr>
      </w:r>
    </w:p>
    <w:p>
      <w:pPr>
        <w:ind w:firstLine="708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8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8"/>
        <w:jc w:val="both"/>
        <w:spacing w:after="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after="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УСЛОВИЯ ПОСТАВКИ</w:t>
      </w:r>
      <w:r>
        <w:rPr>
          <w:rFonts w:cs="Times New Roman"/>
          <w:sz w:val="22"/>
        </w:rPr>
      </w:r>
    </w:p>
    <w:p>
      <w:pPr>
        <w:jc w:val="center"/>
        <w:spacing w:after="0"/>
        <w:rPr>
          <w:rFonts w:cs="Times New Roman"/>
          <w:sz w:val="22"/>
        </w:rPr>
      </w:pPr>
      <w:r>
        <w:rPr>
          <w:rFonts w:cs="Times New Roman"/>
          <w:sz w:val="22"/>
        </w:rPr>
      </w:r>
      <w:r>
        <w:rPr>
          <w:rFonts w:cs="Times New Roman"/>
          <w:sz w:val="22"/>
        </w:rPr>
      </w:r>
    </w:p>
    <w:p>
      <w:pPr>
        <w:jc w:val="both"/>
        <w:spacing w:after="0" w:line="20" w:lineRule="atLeast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Срок изготовления и поставки: не позднее </w:t>
      </w:r>
      <w:r>
        <w:rPr>
          <w:rFonts w:hint="default"/>
          <w:sz w:val="24"/>
          <w:szCs w:val="24"/>
          <w:lang w:val="ru-RU"/>
        </w:rPr>
        <w:t xml:space="preserve">45 </w:t>
      </w:r>
      <w:r>
        <w:rPr>
          <w:sz w:val="24"/>
          <w:szCs w:val="24"/>
        </w:rPr>
        <w:t xml:space="preserve">рабочих дней с момента поступления </w:t>
      </w:r>
      <w:r>
        <w:rPr>
          <w:sz w:val="24"/>
          <w:szCs w:val="24"/>
        </w:rPr>
      </w:r>
    </w:p>
    <w:p>
      <w:pPr>
        <w:jc w:val="both"/>
        <w:spacing w:after="0" w:line="20" w:lineRule="atLeast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денежных средств на текущий счет.</w:t>
      </w:r>
      <w:r>
        <w:rPr>
          <w:sz w:val="24"/>
          <w:szCs w:val="24"/>
        </w:rPr>
      </w:r>
    </w:p>
    <w:p>
      <w:pPr>
        <w:jc w:val="both"/>
        <w:spacing w:after="0" w:line="20" w:lineRule="atLeast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Условия оплаты: Покупатель производит 70% предоплату, путем перечисления денежных средств на расчетный счет Поставщика согласно</w:t>
      </w:r>
      <w:r>
        <w:rPr>
          <w:sz w:val="24"/>
          <w:szCs w:val="24"/>
        </w:rPr>
        <w:t xml:space="preserve"> выставленным счетам на предоплату в течение 5 банковских дней с момента получения счета или путем внесения наличных денежных средств в кассу Поставщика. Оставшиеся 30% оплачиваются по готовности, не позднее 3 рабочих дней с момента сообщения о готовности.</w:t>
      </w:r>
      <w:r>
        <w:rPr>
          <w:sz w:val="24"/>
          <w:szCs w:val="24"/>
        </w:rPr>
      </w:r>
    </w:p>
    <w:p>
      <w:pPr>
        <w:jc w:val="both"/>
        <w:spacing w:after="0" w:line="20" w:lineRule="atLeast"/>
        <w:shd w:val="clear" w:color="auto" w:fill="ffffff"/>
        <w:rPr>
          <w:rFonts w:eastAsia="Times New Roman" w:cs="Times New Roman"/>
          <w:color w:val="212529"/>
          <w:sz w:val="24"/>
          <w:szCs w:val="24"/>
          <w:lang w:eastAsia="ru-RU"/>
          <w14:ligatures w14:val="none"/>
        </w:rPr>
      </w:pPr>
      <w:r>
        <w:rPr>
          <w:sz w:val="24"/>
          <w:szCs w:val="24"/>
        </w:rPr>
        <w:t xml:space="preserve">Доставка: силами Поставщика за счет Покупателя услугами транспортной компании</w:t>
      </w:r>
      <w:r>
        <w:rPr>
          <w:rFonts w:eastAsia="Times New Roman" w:cs="Times New Roman"/>
          <w:color w:val="212529"/>
          <w:sz w:val="24"/>
          <w:szCs w:val="24"/>
          <w:lang w:eastAsia="ru-RU"/>
          <w14:ligatures w14:val="none"/>
        </w:rPr>
        <w:t xml:space="preserve">.</w:t>
      </w:r>
      <w:r>
        <w:rPr>
          <w:rFonts w:eastAsia="Times New Roman" w:cs="Times New Roman"/>
          <w:color w:val="212529"/>
          <w:sz w:val="24"/>
          <w:szCs w:val="24"/>
          <w:lang w:eastAsia="ru-RU"/>
          <w14:ligatures w14:val="none"/>
        </w:rPr>
      </w:r>
    </w:p>
    <w:p>
      <w:pPr>
        <w:jc w:val="both"/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 xml:space="preserve">На всё оборудование выдается технический паспорт и инструкция по эксплуатации.  </w:t>
      </w:r>
      <w:r>
        <w:rPr>
          <w:sz w:val="24"/>
          <w:szCs w:val="24"/>
        </w:rPr>
      </w:r>
    </w:p>
    <w:p>
      <w:pPr>
        <w:jc w:val="both"/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продукцию: 12 месяцев (при условии правильной эксплуатации)</w:t>
      </w:r>
      <w:r>
        <w:rPr>
          <w:sz w:val="24"/>
          <w:szCs w:val="24"/>
        </w:rPr>
      </w:r>
    </w:p>
    <w:p>
      <w:pPr>
        <w:jc w:val="both"/>
        <w:spacing w:after="0" w:line="12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both"/>
        <w:spacing w:after="0" w:line="12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85725</wp:posOffset>
                </wp:positionV>
                <wp:extent cx="1434465" cy="1326515"/>
                <wp:effectExtent l="0" t="0" r="13335" b="19685"/>
                <wp:wrapNone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1589909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434465" cy="1326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1312;o:allowoverlap:true;o:allowincell:true;mso-position-horizontal-relative:text;margin-left:208.50pt;mso-position-horizontal:absolute;mso-position-vertical-relative:text;margin-top:6.75pt;mso-position-vertical:absolute;width:112.95pt;height:104.45pt;mso-wrap-distance-left:9.00pt;mso-wrap-distance-top:0.00pt;mso-wrap-distance-right:9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b/>
          <w:bCs/>
          <w:sz w:val="24"/>
          <w:szCs w:val="24"/>
        </w:rPr>
      </w:r>
    </w:p>
    <w:p>
      <w:pPr>
        <w:jc w:val="both"/>
        <w:spacing w:after="0" w:line="12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both"/>
        <w:spacing w:after="0" w:line="12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both"/>
        <w:spacing w:after="0" w:line="12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both"/>
        <w:spacing w:after="0" w:line="12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both"/>
        <w:spacing w:after="0" w:line="12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both"/>
        <w:spacing w:after="0" w:line="12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both"/>
        <w:spacing w:after="0" w:line="12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bot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Генеральный директор ООО «Промвиль 36»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В.И.Цыхонь</w:t>
      </w:r>
      <w:r>
        <w:rPr>
          <w:sz w:val="24"/>
          <w:szCs w:val="24"/>
        </w:rPr>
      </w:r>
    </w:p>
    <w:p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</w:p>
    <w:p>
      <w:pPr>
        <w:jc w:val="center"/>
        <w:spacing w:line="360" w:lineRule="auto"/>
        <w:widowControl/>
        <w:rPr>
          <w:rFonts w:hint="default"/>
          <w:b/>
          <w:bCs/>
          <w:lang w:val="en-US" w:eastAsia="ru-RU"/>
        </w:rPr>
      </w:pPr>
      <w:r>
        <w:rPr>
          <w:rFonts w:hint="default"/>
          <w:b/>
          <w:bCs/>
          <w:lang w:val="ru-RU" w:eastAsia="ru-RU"/>
        </w:rPr>
        <w:t xml:space="preserve">Автоматическая торцовка брикета и дымоудоления</w:t>
      </w:r>
      <w:r>
        <w:rPr>
          <w:rFonts w:hint="default"/>
          <w:b/>
          <w:bCs/>
          <w:lang w:val="en-US" w:eastAsia="ru-RU"/>
        </w:rPr>
        <w:t xml:space="preserve"> АТБ</w:t>
      </w:r>
      <w:r>
        <w:rPr>
          <w:rFonts w:hint="default"/>
          <w:b/>
          <w:bCs/>
          <w:lang w:val="en-US" w:eastAsia="ru-RU"/>
        </w:rPr>
      </w:r>
    </w:p>
    <w:p>
      <w:pPr>
        <w:jc w:val="center"/>
        <w:spacing w:line="360" w:lineRule="auto"/>
        <w:widowControl/>
        <w:rPr>
          <w:b/>
          <w:bCs/>
          <w:lang w:val="ru-RU" w:eastAsia="ru-RU"/>
        </w:rPr>
      </w:pPr>
      <w:r>
        <w:rPr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1950" cy="2176780"/>
                <wp:effectExtent l="0" t="0" r="19050" b="7620"/>
                <wp:docPr id="5" name="Picture 4" descr="WhatsApp Image 2024-04-08 at 12.05.51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WhatsApp Image 2024-04-08 at 12.05.51 (2)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901950" cy="2176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28.50pt;height:171.4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6075" cy="2164715"/>
                <wp:effectExtent l="0" t="0" r="9525" b="19685"/>
                <wp:docPr id="6" name="Picture 3" descr="WhatsApp Image 2024-04-08 at 12.05.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WhatsApp Image 2024-04-08 at 12.05.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886075" cy="2164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27.25pt;height:170.4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b/>
          <w:bCs/>
          <w:lang w:val="ru-RU" w:eastAsia="ru-RU"/>
        </w:rPr>
      </w:r>
    </w:p>
    <w:p>
      <w:pPr>
        <w:jc w:val="center"/>
        <w:spacing w:line="360" w:lineRule="auto"/>
        <w:widowControl/>
        <w:rPr>
          <w:b/>
          <w:bCs/>
          <w:lang w:val="ru-RU" w:eastAsia="ru-RU"/>
        </w:rPr>
      </w:pPr>
      <w:r>
        <w:rPr>
          <w:b/>
          <w:bCs/>
          <w:lang w:val="ru-RU" w:eastAsia="ru-RU"/>
        </w:rPr>
        <w:t xml:space="preserve">ОПИСАНИЕ И РАБОТА</w:t>
      </w:r>
      <w:r>
        <w:rPr>
          <w:b/>
          <w:bCs/>
          <w:lang w:val="ru-RU" w:eastAsia="ru-RU"/>
        </w:rPr>
      </w:r>
    </w:p>
    <w:p>
      <w:pPr>
        <w:numPr>
          <w:ilvl w:val="1"/>
          <w:numId w:val="1"/>
        </w:numPr>
        <w:jc w:val="both"/>
        <w:rPr>
          <w:lang w:val="ru-RU" w:eastAsia="ru-RU"/>
        </w:rPr>
      </w:pPr>
      <w:r>
        <w:rPr>
          <w:rFonts w:hint="default"/>
          <w:lang w:val="en-US" w:eastAsia="ru-RU"/>
        </w:rPr>
        <w:t xml:space="preserve"> </w:t>
      </w:r>
      <w:r>
        <w:rPr>
          <w:lang w:val="uk-UA" w:eastAsia="ru-RU"/>
        </w:rPr>
        <w:t xml:space="preserve">Автоматическая торцовка брикета</w:t>
      </w:r>
      <w:r>
        <w:rPr>
          <w:lang w:val="ru-RU" w:eastAsia="ru-RU"/>
        </w:rPr>
        <w:t xml:space="preserve"> </w:t>
      </w:r>
      <w:r>
        <w:rPr>
          <w:lang w:val="uk-UA" w:eastAsia="ru-RU"/>
        </w:rPr>
        <w:t xml:space="preserve">АТБ </w:t>
      </w:r>
      <w:r>
        <w:rPr>
          <w:lang w:val="ru-RU" w:eastAsia="ru-RU"/>
        </w:rPr>
        <w:t xml:space="preserve">предназначена</w:t>
      </w:r>
      <w:r>
        <w:rPr>
          <w:lang w:val="uk-UA" w:eastAsia="ru-RU"/>
        </w:rPr>
        <w:t xml:space="preserve"> </w:t>
      </w:r>
      <w:r>
        <w:rPr>
          <w:lang w:val="ru-RU" w:eastAsia="ru-RU"/>
        </w:rPr>
        <w:t xml:space="preserve"> для отрезания топливных брикетов,</w:t>
      </w:r>
      <w:r>
        <w:rPr>
          <w:rFonts w:hint="default"/>
          <w:lang w:val="en-US" w:eastAsia="ru-RU"/>
        </w:rPr>
        <w:t xml:space="preserve"> </w:t>
      </w:r>
      <w:r>
        <w:rPr>
          <w:lang w:val="ru-RU" w:eastAsia="ru-RU"/>
        </w:rPr>
        <w:t xml:space="preserve">которые подаются из рабочего органа экструдера для брикетирования отходов</w:t>
      </w:r>
      <w:r>
        <w:rPr>
          <w:lang w:val="uk-UA" w:eastAsia="ru-RU"/>
        </w:rPr>
        <w:t xml:space="preserve">.</w:t>
      </w:r>
      <w:r>
        <w:rPr>
          <w:lang w:val="ru-RU" w:eastAsia="ru-RU"/>
        </w:rPr>
        <w:t xml:space="preserve"> </w:t>
      </w:r>
      <w:r>
        <w:rPr>
          <w:lang w:val="ru-RU" w:eastAsia="ru-RU"/>
        </w:rPr>
      </w:r>
    </w:p>
    <w:p>
      <w:pPr>
        <w:numPr>
          <w:ilvl w:val="1"/>
          <w:numId w:val="1"/>
        </w:numPr>
        <w:jc w:val="both"/>
        <w:rPr>
          <w:lang w:val="ru-RU" w:eastAsia="ru-RU"/>
        </w:rPr>
      </w:pPr>
      <w:r>
        <w:rPr>
          <w:rFonts w:hint="default"/>
          <w:lang w:val="en-US" w:eastAsia="ru-RU"/>
        </w:rPr>
        <w:t xml:space="preserve"> </w:t>
      </w:r>
      <w:r>
        <w:rPr>
          <w:lang w:val="ru-RU" w:eastAsia="ru-RU"/>
        </w:rPr>
        <w:t xml:space="preserve">Торцовка предназначена для  работы от переменного тока напряжением 380 В, </w:t>
      </w:r>
      <w:bookmarkStart w:id="0" w:name="_Hlk154218987"/>
      <w:r>
        <w:rPr>
          <w:lang w:val="ru-RU" w:eastAsia="ru-RU"/>
        </w:rPr>
        <w:t xml:space="preserve">частотой 50 Гц.</w:t>
      </w:r>
      <w:bookmarkEnd w:id="0"/>
      <w:r/>
      <w:r>
        <w:rPr>
          <w:lang w:val="ru-RU" w:eastAsia="ru-RU"/>
        </w:rPr>
      </w:r>
    </w:p>
    <w:p>
      <w:pPr>
        <w:numPr>
          <w:ilvl w:val="1"/>
          <w:numId w:val="1"/>
        </w:numPr>
        <w:jc w:val="both"/>
        <w:rPr>
          <w:lang w:val="ru-RU" w:eastAsia="ru-RU"/>
        </w:rPr>
      </w:pPr>
      <w:r>
        <w:rPr>
          <w:rFonts w:hint="default"/>
          <w:lang w:val="en-US" w:eastAsia="ru-RU"/>
        </w:rPr>
        <w:t xml:space="preserve"> </w:t>
      </w:r>
      <w:r>
        <w:rPr>
          <w:lang w:val="ru-RU" w:eastAsia="ru-RU"/>
        </w:rPr>
        <w:t xml:space="preserve">Торцовка  эксплуатируется в закрытом помещении при температуре от  +5°С до +40°С и</w:t>
      </w:r>
      <w:r>
        <w:rPr>
          <w:rFonts w:hint="default"/>
          <w:lang w:val="en-US" w:eastAsia="ru-RU"/>
        </w:rPr>
        <w:t xml:space="preserve"> </w:t>
      </w:r>
      <w:r>
        <w:rPr>
          <w:lang w:val="ru-RU" w:eastAsia="ru-RU"/>
        </w:rPr>
        <w:t xml:space="preserve">относительной влажности 80% при температуре 25°С.</w:t>
      </w:r>
      <w:r>
        <w:rPr>
          <w:lang w:val="ru-RU" w:eastAsia="ru-RU"/>
        </w:rPr>
      </w:r>
    </w:p>
    <w:p>
      <w:pPr>
        <w:jc w:val="both"/>
        <w:rPr>
          <w:lang w:val="ru-RU" w:eastAsia="ru-RU"/>
        </w:rPr>
      </w:pPr>
      <w:r>
        <w:rPr>
          <w:lang w:val="uk-UA" w:eastAsia="ru-RU"/>
        </w:rPr>
        <w:t xml:space="preserve">1.4 </w:t>
      </w:r>
      <w:r>
        <w:rPr>
          <w:lang w:val="ru-RU" w:eastAsia="ru-RU"/>
        </w:rPr>
        <w:t xml:space="preserve">Условия работы АТБ следующие:</w:t>
      </w:r>
      <w:r>
        <w:rPr>
          <w:lang w:val="ru-RU" w:eastAsia="ru-RU"/>
        </w:rPr>
      </w:r>
    </w:p>
    <w:p>
      <w:pPr>
        <w:ind w:left="140" w:hanging="140"/>
        <w:jc w:val="both"/>
        <w:rPr>
          <w:lang w:val="ru-RU" w:eastAsia="ru-RU"/>
        </w:rPr>
      </w:pPr>
      <w:r>
        <w:rPr>
          <w:lang w:val="ru-RU" w:eastAsia="ru-RU"/>
        </w:rPr>
        <w:t xml:space="preserve">На предприятии потребителе </w:t>
      </w:r>
      <w:r>
        <w:rPr>
          <w:lang w:val="uk-UA" w:eastAsia="ru-RU"/>
        </w:rPr>
        <w:t xml:space="preserve">торцовка</w:t>
      </w:r>
      <w:r>
        <w:rPr>
          <w:lang w:val="ru-RU" w:eastAsia="ru-RU"/>
        </w:rPr>
        <w:t xml:space="preserve"> должн</w:t>
      </w:r>
      <w:r>
        <w:rPr>
          <w:lang w:val="uk-UA" w:eastAsia="ru-RU"/>
        </w:rPr>
        <w:t xml:space="preserve">а</w:t>
      </w:r>
      <w:r>
        <w:rPr>
          <w:lang w:val="ru-RU" w:eastAsia="ru-RU"/>
        </w:rPr>
        <w:t xml:space="preserve"> быть установлен</w:t>
      </w:r>
      <w:r>
        <w:rPr>
          <w:lang w:val="uk-UA" w:eastAsia="ru-RU"/>
        </w:rPr>
        <w:t xml:space="preserve">а</w:t>
      </w:r>
      <w:r>
        <w:rPr>
          <w:lang w:val="ru-RU" w:eastAsia="ru-RU"/>
        </w:rPr>
        <w:t xml:space="preserve"> в линию, включающую компрессорную станцию, экструдер для брикетирования </w:t>
      </w:r>
      <w:r>
        <w:rPr>
          <w:rFonts w:hint="default"/>
          <w:lang w:val="en-US" w:eastAsia="ru-RU"/>
        </w:rPr>
        <w:t xml:space="preserve"> </w:t>
      </w:r>
      <w:r>
        <w:rPr>
          <w:lang w:val="ru-RU" w:eastAsia="ru-RU"/>
        </w:rPr>
        <w:t xml:space="preserve">отходов,  охладитель брикетов, оборудование отбора и упаковки готовой</w:t>
      </w:r>
      <w:r>
        <w:rPr>
          <w:rFonts w:hint="default"/>
          <w:lang w:val="en-US" w:eastAsia="ru-RU"/>
        </w:rPr>
        <w:t xml:space="preserve"> </w:t>
      </w:r>
      <w:r>
        <w:rPr>
          <w:lang w:val="ru-RU" w:eastAsia="ru-RU"/>
        </w:rPr>
        <w:t xml:space="preserve">продукции, установки для удаления посторонних включений </w:t>
      </w:r>
      <w:r>
        <w:rPr>
          <w:rFonts w:hint="default"/>
          <w:lang w:val="en-US" w:eastAsia="ru-RU"/>
        </w:rPr>
        <w:t xml:space="preserve"> </w:t>
      </w:r>
      <w:r>
        <w:rPr>
          <w:lang w:val="ru-RU" w:eastAsia="ru-RU"/>
        </w:rPr>
        <w:t xml:space="preserve">(в том числе металлических). </w:t>
      </w:r>
      <w:r>
        <w:rPr>
          <w:lang w:val="ru-RU" w:eastAsia="ru-RU"/>
        </w:rPr>
      </w:r>
    </w:p>
    <w:p>
      <w:pPr>
        <w:rPr>
          <w:lang w:val="ru-RU" w:eastAsia="ru-RU"/>
        </w:rPr>
      </w:pPr>
      <w:r>
        <w:rPr>
          <w:lang w:val="ru-RU" w:eastAsia="ru-RU"/>
        </w:rPr>
        <w:t xml:space="preserve">1.5</w:t>
      </w:r>
      <w:r>
        <w:rPr>
          <w:rFonts w:hint="default"/>
          <w:lang w:val="en-US" w:eastAsia="ru-RU"/>
        </w:rPr>
        <w:t xml:space="preserve"> </w:t>
      </w:r>
      <w:r>
        <w:rPr>
          <w:lang w:val="ru-RU" w:eastAsia="ru-RU"/>
        </w:rPr>
        <w:t xml:space="preserve">Технические характеристики </w:t>
      </w:r>
      <w:r>
        <w:rPr>
          <w:lang w:val="uk-UA" w:eastAsia="ru-RU"/>
        </w:rPr>
        <w:t xml:space="preserve">торцовки</w:t>
      </w:r>
      <w:r>
        <w:rPr>
          <w:lang w:val="ru-RU" w:eastAsia="ru-RU"/>
        </w:rPr>
        <w:t xml:space="preserve"> приведены в таблице.</w:t>
      </w:r>
      <w:r>
        <w:rPr>
          <w:lang w:val="ru-RU" w:eastAsia="ru-RU"/>
        </w:rPr>
      </w:r>
    </w:p>
    <w:p>
      <w:pPr>
        <w:jc w:val="both"/>
        <w:rPr>
          <w:b/>
          <w:bCs/>
          <w:lang w:val="uk-UA" w:eastAsia="ru-RU"/>
        </w:rPr>
      </w:pPr>
      <w:r>
        <w:rPr>
          <w:b/>
          <w:bCs/>
          <w:lang w:val="ru-RU" w:eastAsia="ru-RU"/>
        </w:rPr>
        <w:t xml:space="preserve">Технические характеристики </w:t>
      </w:r>
      <w:r>
        <w:rPr>
          <w:b/>
          <w:bCs/>
          <w:lang w:val="uk-UA" w:eastAsia="ru-RU"/>
        </w:rPr>
        <w:t xml:space="preserve">торцовки брикета</w:t>
      </w:r>
      <w:r>
        <w:rPr>
          <w:b/>
          <w:bCs/>
          <w:lang w:val="uk-UA" w:eastAsia="ru-RU"/>
        </w:rPr>
      </w:r>
    </w:p>
    <w:tbl>
      <w:tblPr>
        <w:tblStyle w:val="780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341"/>
        <w:gridCol w:w="1568"/>
        <w:gridCol w:w="1408"/>
      </w:tblGrid>
      <w:tr>
        <w:trPr>
          <w:trHeight w:val="155"/>
        </w:trPr>
        <w:tc>
          <w:tcPr>
            <w:tcW w:w="6341" w:type="dxa"/>
            <w:textDirection w:val="lrTb"/>
            <w:noWrap w:val="false"/>
          </w:tcPr>
          <w:p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Наименование показателя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textDirection w:val="lrTb"/>
            <w:noWrap w:val="false"/>
          </w:tcPr>
          <w:p>
            <w:pPr>
              <w:jc w:val="center"/>
              <w:rPr>
                <w:lang w:val="uk-UA" w:eastAsia="ru-RU"/>
              </w:rPr>
            </w:pPr>
            <w:r>
              <w:rPr>
                <w:lang w:val="uk-UA" w:eastAsia="ru-RU"/>
              </w:rPr>
              <w:t xml:space="preserve">ед.изм.</w:t>
            </w:r>
            <w:r>
              <w:rPr>
                <w:lang w:val="uk-UA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АТБ</w:t>
            </w:r>
            <w:r>
              <w:rPr>
                <w:lang w:val="ru-RU" w:eastAsia="ru-RU"/>
              </w:rPr>
            </w:r>
          </w:p>
        </w:tc>
      </w:tr>
      <w:tr>
        <w:trPr>
          <w:trHeight w:val="202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uk-UA" w:eastAsia="ru-RU"/>
              </w:rPr>
            </w:pPr>
            <w:r>
              <w:rPr>
                <w:lang w:val="ru-RU" w:eastAsia="ru-RU"/>
              </w:rPr>
              <w:t xml:space="preserve">Производительность станка торцовочного (зависит от вида сырья и его подготовки), до</w:t>
            </w:r>
            <w:r>
              <w:rPr>
                <w:lang w:val="uk-UA" w:eastAsia="ru-RU"/>
              </w:rPr>
              <w:t xml:space="preserve"> </w:t>
            </w:r>
            <w:r>
              <w:rPr>
                <w:lang w:val="uk-UA" w:eastAsia="ru-RU"/>
              </w:rPr>
            </w:r>
          </w:p>
        </w:tc>
        <w:tc>
          <w:tcPr>
            <w:tcW w:w="1568" w:type="dxa"/>
            <w:textDirection w:val="lrTb"/>
            <w:noWrap w:val="false"/>
          </w:tcPr>
          <w:p>
            <w:pPr>
              <w:jc w:val="both"/>
              <w:rPr>
                <w:lang w:val="uk-UA" w:eastAsia="ru-RU"/>
              </w:rPr>
            </w:pPr>
            <w:r>
              <w:rPr>
                <w:lang w:val="uk-UA" w:eastAsia="ru-RU"/>
              </w:rPr>
              <w:t xml:space="preserve">кг</w:t>
            </w:r>
            <w:r>
              <w:rPr>
                <w:lang w:val="uk-UA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uk-UA" w:eastAsia="ru-RU"/>
              </w:rPr>
              <w:t xml:space="preserve">1</w:t>
            </w:r>
            <w:r>
              <w:rPr>
                <w:rFonts w:hint="default"/>
                <w:lang w:val="en-US" w:eastAsia="ru-RU"/>
              </w:rPr>
              <w:t xml:space="preserve">5</w:t>
            </w:r>
            <w:r>
              <w:rPr>
                <w:lang w:val="uk-UA" w:eastAsia="ru-RU"/>
              </w:rPr>
              <w:t xml:space="preserve">00</w:t>
            </w:r>
            <w:r>
              <w:rPr>
                <w:lang w:val="ru-RU" w:eastAsia="ru-RU"/>
              </w:rPr>
            </w:r>
          </w:p>
        </w:tc>
      </w:tr>
      <w:tr>
        <w:trPr>
          <w:trHeight w:val="320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Удельная плотность продукта для резания, не менее</w:t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не более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кг/м³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1000</w:t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1400</w:t>
            </w:r>
            <w:r>
              <w:rPr>
                <w:lang w:val="ru-RU" w:eastAsia="ru-RU"/>
              </w:rPr>
            </w:r>
          </w:p>
        </w:tc>
      </w:tr>
      <w:tr>
        <w:trPr>
          <w:trHeight w:val="300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Влажность исходного сырья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%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5-15</w:t>
            </w:r>
            <w:r>
              <w:rPr>
                <w:lang w:val="ru-RU" w:eastAsia="ru-RU"/>
              </w:rPr>
            </w:r>
          </w:p>
        </w:tc>
      </w:tr>
      <w:tr>
        <w:trPr>
          <w:trHeight w:val="162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Фракция     исходного сырья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мм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2-10</w:t>
            </w:r>
            <w:r>
              <w:rPr>
                <w:lang w:val="ru-RU" w:eastAsia="ru-RU"/>
              </w:rPr>
            </w:r>
          </w:p>
        </w:tc>
      </w:tr>
      <w:tr>
        <w:trPr>
          <w:trHeight w:val="300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Установленная мощность, не более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кВт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both"/>
              <w:rPr>
                <w:lang w:val="uk-UA" w:eastAsia="ru-RU"/>
              </w:rPr>
            </w:pPr>
            <w:r>
              <w:rPr>
                <w:lang w:val="ru-RU" w:eastAsia="ru-RU"/>
              </w:rPr>
              <w:t xml:space="preserve">2,2</w:t>
            </w:r>
            <w:r>
              <w:rPr>
                <w:lang w:val="uk-UA" w:eastAsia="ru-RU"/>
              </w:rPr>
            </w:r>
          </w:p>
        </w:tc>
      </w:tr>
      <w:tr>
        <w:trPr>
          <w:trHeight w:val="300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Диск пильный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Ø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350</w:t>
            </w:r>
            <w:r>
              <w:rPr>
                <w:lang w:val="ru-RU" w:eastAsia="ru-RU"/>
              </w:rPr>
            </w:r>
          </w:p>
        </w:tc>
      </w:tr>
      <w:tr>
        <w:trPr>
          <w:trHeight w:val="300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Скорость вращения пилы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vAlign w:val="center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об./мин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uk-UA" w:eastAsia="ru-RU"/>
              </w:rPr>
              <w:t xml:space="preserve">3 </w:t>
            </w:r>
            <w:r>
              <w:rPr>
                <w:lang w:val="ru-RU" w:eastAsia="ru-RU"/>
              </w:rPr>
              <w:t xml:space="preserve">000</w:t>
            </w:r>
            <w:r>
              <w:rPr>
                <w:lang w:val="ru-RU" w:eastAsia="ru-RU"/>
              </w:rPr>
            </w:r>
          </w:p>
        </w:tc>
      </w:tr>
      <w:tr>
        <w:trPr>
          <w:trHeight w:val="300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Необходимое давление воздуха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кг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5</w:t>
            </w:r>
            <w:r>
              <w:rPr>
                <w:lang w:val="ru-RU" w:eastAsia="ru-RU"/>
              </w:rPr>
            </w:r>
          </w:p>
        </w:tc>
      </w:tr>
      <w:tr>
        <w:trPr>
          <w:trHeight w:val="300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Необходимый объём воздуха, до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vAlign w:val="center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л/мин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vAlign w:val="center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50</w:t>
            </w:r>
            <w:r>
              <w:rPr>
                <w:lang w:val="ru-RU" w:eastAsia="ru-RU"/>
              </w:rPr>
            </w:r>
          </w:p>
        </w:tc>
      </w:tr>
      <w:tr>
        <w:trPr>
          <w:trHeight w:val="300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Габаритные размеры, не более:</w:t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- длина </w:t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-ширина</w:t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- высота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vAlign w:val="center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мм</w:t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мм</w:t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мм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vAlign w:val="center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4245</w:t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1400</w:t>
            </w:r>
            <w:r>
              <w:rPr>
                <w:lang w:val="ru-RU" w:eastAsia="ru-RU"/>
              </w:rPr>
            </w:r>
          </w:p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1948</w:t>
            </w:r>
            <w:r>
              <w:rPr>
                <w:lang w:val="ru-RU" w:eastAsia="ru-RU"/>
              </w:rPr>
            </w:r>
          </w:p>
        </w:tc>
      </w:tr>
      <w:tr>
        <w:trPr>
          <w:trHeight w:val="300"/>
        </w:trPr>
        <w:tc>
          <w:tcPr>
            <w:tcW w:w="6341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Масса, не более</w:t>
            </w:r>
            <w:r>
              <w:rPr>
                <w:lang w:val="ru-RU" w:eastAsia="ru-RU"/>
              </w:rPr>
            </w:r>
          </w:p>
        </w:tc>
        <w:tc>
          <w:tcPr>
            <w:tcW w:w="1568" w:type="dxa"/>
            <w:textDirection w:val="lrTb"/>
            <w:noWrap w:val="false"/>
          </w:tcPr>
          <w:p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кг</w:t>
            </w:r>
            <w:r>
              <w:rPr>
                <w:lang w:val="ru-RU" w:eastAsia="ru-RU"/>
              </w:rPr>
            </w:r>
          </w:p>
        </w:tc>
        <w:tc>
          <w:tcPr>
            <w:tcW w:w="1408" w:type="dxa"/>
            <w:textDirection w:val="lrTb"/>
            <w:noWrap w:val="false"/>
          </w:tcPr>
          <w:p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357</w:t>
            </w:r>
            <w:r>
              <w:rPr>
                <w:lang w:eastAsia="ru-RU"/>
              </w:rPr>
            </w:r>
          </w:p>
        </w:tc>
      </w:tr>
    </w:tbl>
    <w:p>
      <w:pPr>
        <w:jc w:val="both"/>
        <w:rPr>
          <w:lang w:val="ru-RU" w:eastAsia="ru-RU"/>
        </w:rPr>
      </w:pPr>
      <w:r>
        <w:rPr>
          <w:lang w:val="ru-RU" w:eastAsia="ru-RU"/>
        </w:rPr>
      </w:r>
      <w:r>
        <w:rPr>
          <w:lang w:val="ru-RU" w:eastAsia="ru-RU"/>
        </w:rPr>
      </w:r>
    </w:p>
    <w:p>
      <w:pPr>
        <w:jc w:val="both"/>
        <w:rPr>
          <w:rFonts w:hint="default"/>
          <w:lang w:val="en-US" w:eastAsia="ru-RU"/>
        </w:rPr>
      </w:pPr>
      <w:r>
        <w:rPr>
          <w:lang w:val="ru-RU" w:eastAsia="ru-RU"/>
        </w:rPr>
        <w:t xml:space="preserve">Установка</w:t>
      </w:r>
      <w:r>
        <w:rPr>
          <w:rFonts w:hint="default"/>
          <w:lang w:val="en-US" w:eastAsia="ru-RU"/>
        </w:rPr>
        <w:t xml:space="preserve"> оснащена смотровыми окнами со с</w:t>
      </w:r>
      <w:r>
        <w:rPr>
          <w:rFonts w:hint="default"/>
          <w:lang w:val="en-US" w:eastAsia="ru-RU"/>
        </w:rPr>
        <w:t xml:space="preserve">ветовой индикацией в приемной зоне и в рабочей. С двух сторон находятся ревизионные окна. Комплктующие, который используются для производства данной машины, фирмы CAMOZZI. Установка оснащена регулятором давления воздуха, сборсниками, фильтрами, 2 пневмотич</w:t>
      </w:r>
      <w:r>
        <w:rPr>
          <w:rFonts w:hint="default"/>
          <w:lang w:val="en-US" w:eastAsia="ru-RU"/>
        </w:rPr>
        <w:t xml:space="preserve">ескими цилиндрами, инкодером, шкафом управления. Возможно зеркальное исполнение по выходу брикта. Приемный лоток оснащен отбойником, защищающим торцовочный узел от хлопков и выброса брикета. Система дымоудаления трехзонная. Вытяжной вентилятор в комплекте.</w:t>
      </w:r>
      <w:r>
        <w:rPr>
          <w:rFonts w:hint="default"/>
          <w:lang w:val="en-US" w:eastAsia="ru-RU"/>
        </w:rPr>
      </w:r>
    </w:p>
    <w:p>
      <w:pPr>
        <w:jc w:val="left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64485" cy="3821430"/>
                <wp:effectExtent l="0" t="0" r="5715" b="13970"/>
                <wp:docPr id="7" name="Picture 5" descr="WhatsApp Image 2024-04-08 at 12.05.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WhatsApp Image 2024-04-08 at 12.05.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864485" cy="3821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25.55pt;height:300.9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hint="default"/>
          <w:sz w:val="24"/>
          <w:szCs w:val="24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68930" cy="3826510"/>
                <wp:effectExtent l="0" t="0" r="1270" b="8890"/>
                <wp:docPr id="8" name="Picture 7" descr="WhatsApp Image 2024-04-08 at 12.05.51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WhatsApp Image 2024-04-08 at 12.05.51 (1)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868930" cy="3826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5.90pt;height:301.3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hint="default"/>
          <w:sz w:val="24"/>
          <w:szCs w:val="24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8020" cy="3233420"/>
                <wp:effectExtent l="0" t="0" r="17780" b="17780"/>
                <wp:docPr id="9" name="Picture 9" descr="WhatsApp Image 2024-04-08 at 12.05.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WhatsApp Image 2024-04-08 at 12.05.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748020" cy="3233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2.60pt;height:254.6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hint="default"/>
          <w:sz w:val="24"/>
          <w:szCs w:val="24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69845" cy="3427095"/>
                <wp:effectExtent l="0" t="0" r="20955" b="1905"/>
                <wp:docPr id="10" name="Picture 8" descr="WhatsApp Image 2024-04-08 at 12.05.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WhatsApp Image 2024-04-08 at 12.05.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569845" cy="3427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02.35pt;height:269.8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hint="default"/>
          <w:sz w:val="24"/>
          <w:szCs w:val="24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18155" cy="2264410"/>
                <wp:effectExtent l="0" t="0" r="4445" b="21590"/>
                <wp:docPr id="11" name="Picture 6" descr="WhatsApp Image 2024-04-08 at 12.05.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WhatsApp Image 2024-04-08 at 12.05.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18155" cy="2264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37.65pt;height:178.3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hint="default"/>
          <w:sz w:val="24"/>
          <w:szCs w:val="24"/>
          <w:lang w:val="ru-RU"/>
        </w:rPr>
      </w:r>
    </w:p>
    <w:p>
      <w:pPr>
        <w:jc w:val="left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</w:r>
      <w:r>
        <w:rPr>
          <w:rFonts w:hint="default"/>
          <w:sz w:val="24"/>
          <w:szCs w:val="24"/>
          <w:lang w:val="ru-RU"/>
        </w:rPr>
      </w:r>
    </w:p>
    <w:p>
      <w:pPr>
        <w:jc w:val="left"/>
        <w:rPr>
          <w:rFonts w:hint="default"/>
          <w:sz w:val="24"/>
          <w:szCs w:val="24"/>
          <w:lang w:val="ru-RU"/>
        </w:rPr>
      </w:pPr>
      <w:r/>
      <w:bookmarkStart w:id="1" w:name="_GoBack"/>
      <w:r/>
      <w:bookmarkEnd w:id="1"/>
      <w:r/>
      <w:r>
        <w:rPr>
          <w:rFonts w:hint="default"/>
          <w:sz w:val="24"/>
          <w:szCs w:val="24"/>
          <w:lang w:val="ru-RU"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850" w:bottom="1560" w:left="1701" w:header="1425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2"/>
      <w:ind w:left="4820"/>
      <w:rPr>
        <w:sz w:val="20"/>
        <w:szCs w:val="20"/>
      </w:rPr>
    </w:pPr>
    <w:r>
      <w:rPr>
        <w:sz w:val="20"/>
        <w:szCs w:val="20"/>
      </w:rPr>
      <w:t xml:space="preserve"> </w:t>
    </w:r>
    <w:r>
      <w:rPr>
        <w:sz w:val="20"/>
        <w:szCs w:val="20"/>
      </w:rPr>
    </w:r>
  </w:p>
  <w:tbl>
    <w:tblPr>
      <w:tblStyle w:val="785"/>
      <w:tblW w:w="0" w:type="auto"/>
      <w:tblInd w:w="-1423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  <w:tblLook w:val="04A0" w:firstRow="1" w:lastRow="0" w:firstColumn="1" w:lastColumn="0" w:noHBand="0" w:noVBand="1"/>
    </w:tblPr>
    <w:tblGrid>
      <w:gridCol w:w="5954"/>
      <w:gridCol w:w="4813"/>
    </w:tblGrid>
    <w:tr>
      <w:trPr>
        <w:trHeight w:val="855"/>
      </w:trPr>
      <w:tc>
        <w:tcPr>
          <w:tcW w:w="5954" w:type="dxa"/>
          <w:textDirection w:val="lrTb"/>
          <w:noWrap w:val="false"/>
        </w:tcPr>
        <w:p>
          <w:pPr>
            <w:pStyle w:val="782"/>
            <w:ind w:left="1165" w:firstLine="13"/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561340</wp:posOffset>
                    </wp:positionH>
                    <wp:positionV relativeFrom="paragraph">
                      <wp:posOffset>-4445</wp:posOffset>
                    </wp:positionV>
                    <wp:extent cx="0" cy="619760"/>
                    <wp:effectExtent l="95250" t="95250" r="57150" b="47625"/>
                    <wp:wrapNone/>
                    <wp:docPr id="3" name="Прямая соединительная линия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/>
                          <wps:spPr bwMode="auto">
                            <a:xfrm flipH="1">
                              <a:off x="0" y="0"/>
                              <a:ext cx="0" cy="61951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9556D"/>
                              </a:solidFill>
                            </a:ln>
                            <a:effectLst>
                              <a:outerShdw blurRad="50800" dist="38100" dir="13500000" algn="b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 2" o:spid="_x0000_s2" style="position:absolute;left:0;text-align:left;z-index:251661312;mso-wrap-distance-left:9.00pt;mso-wrap-distance-top:0.00pt;mso-wrap-distance-right:9.00pt;mso-wrap-distance-bottom:0.00pt;flip:x;visibility:visible;" from="44.2pt,-0.3pt" to="44.2pt,48.4pt" filled="f" strokecolor="#19556D" strokeweight="3.00pt">
                    <v:stroke dashstyle="solid"/>
                  </v:line>
                </w:pict>
              </mc:Fallback>
            </mc:AlternateContent>
          </w: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w:t xml:space="preserve">ООО «ПРОМВИЛЬ 36»</w:t>
          </w: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</w:r>
        </w:p>
        <w:p>
          <w:pPr>
            <w:pStyle w:val="782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ИНН 3663159224 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  <w:p>
          <w:pPr>
            <w:pStyle w:val="782"/>
            <w:ind w:left="1178"/>
            <w:tabs>
              <w:tab w:val="clear" w:pos="4677" w:leader="none"/>
              <w:tab w:val="right" w:pos="5738" w:leader="none"/>
              <w:tab w:val="clear" w:pos="9355" w:leader="none"/>
            </w:tabs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КПП 366301001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ab/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  <w:p>
          <w:pPr>
            <w:pStyle w:val="782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ОГРН 1223600009335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  <w:p>
          <w:pPr>
            <w:pStyle w:val="782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</w:tc>
      <w:tc>
        <w:tcPr>
          <w:tcW w:w="4813" w:type="dxa"/>
          <w:textDirection w:val="lrTb"/>
          <w:noWrap w:val="false"/>
        </w:tcPr>
        <w:p>
          <w:pPr>
            <w:pStyle w:val="782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тел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. 8 800 101 39 90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r>
        </w:p>
        <w:p>
          <w:pPr>
            <w:pStyle w:val="782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Email: </w:t>
          </w:r>
          <w:r>
            <w:fldChar w:fldCharType="begin"/>
          </w:r>
          <w:r>
            <w:instrText xml:space="preserve"> HYPERLINK "mailto:rf80_11@mail.ru" </w:instrText>
          </w:r>
          <w:r>
            <w:fldChar w:fldCharType="separate"/>
          </w:r>
          <w:r>
            <w:rPr>
              <w:rStyle w:val="783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rf80_11@mail.ru</w:t>
          </w:r>
          <w:r>
            <w:rPr>
              <w:rStyle w:val="783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fldChar w:fldCharType="end"/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r>
        </w:p>
        <w:p>
          <w:pPr>
            <w:pStyle w:val="782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fldChar w:fldCharType="begin"/>
          </w:r>
          <w:r>
            <w:instrText xml:space="preserve"> HYPERLINK "http://www.promvil36.ru" </w:instrText>
          </w:r>
          <w:r>
            <w:fldChar w:fldCharType="separate"/>
          </w:r>
          <w:r>
            <w:rPr>
              <w:rStyle w:val="783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www.promvil36.ru</w:t>
          </w:r>
          <w:r>
            <w:rPr>
              <w:rStyle w:val="783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fldChar w:fldCharType="end"/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r>
        </w:p>
        <w:p>
          <w:pPr>
            <w:pStyle w:val="782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Адрес: 394029, г. Воронеж, ул. Меркулова, 7, пом. 22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</w:r>
        </w:p>
      </w:tc>
    </w:tr>
  </w:tbl>
  <w:p>
    <w:pPr>
      <w:pStyle w:val="78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before="0" w:after="0" w:line="240" w:lineRule="auto"/>
      </w:pPr>
      <w:r>
        <w:separator/>
      </w:r>
      <w:r/>
    </w:p>
  </w:footnote>
  <w:footnote w:type="continuationSeparator" w:id="0">
    <w:p>
      <w:pPr>
        <w:spacing w:before="0"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2"/>
      <w:ind w:left="-1560"/>
      <w:tabs>
        <w:tab w:val="clear" w:pos="4677" w:leader="none"/>
      </w:tabs>
      <w:rPr>
        <w:rFonts w:asciiTheme="minorHAnsi" w:hAnsiTheme="minorHAnsi" w:cstheme="minorHAnsi"/>
        <w:b/>
        <w:bCs/>
        <w:sz w:val="24"/>
        <w:szCs w:val="24"/>
      </w:rPr>
    </w:pPr>
    <w:r>
      <w:rPr>
        <w:b/>
        <w:bCs/>
        <w:sz w:val="24"/>
        <w:szCs w:val="24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ragraph">
                <wp:posOffset>-779145</wp:posOffset>
              </wp:positionV>
              <wp:extent cx="4314825" cy="781050"/>
              <wp:effectExtent l="0" t="0" r="0" b="635"/>
              <wp:wrapNone/>
              <wp:docPr id="1" name="Рисунок 14591123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9112333" name="Рисунок 1459112333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314825" cy="7808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9264;o:allowoverlap:true;o:allowincell:true;mso-position-horizontal-relative:page;margin-left:130.30pt;mso-position-horizontal:absolute;mso-position-vertical-relative:text;margin-top:-61.35pt;mso-position-vertical:absolute;width:339.75pt;height:61.50pt;mso-wrap-distance-left:9.00pt;mso-wrap-distance-top:0.00pt;mso-wrap-distance-right:9.00pt;mso-wrap-distance-bottom:0.00pt;" stroked="false">
              <v:path textboxrect="0,0,0,0"/>
              <v:imagedata r:id="rId1" o:title=""/>
            </v:shape>
          </w:pict>
        </mc:Fallback>
      </mc:AlternateContent>
    </w:r>
    <w:r>
      <w:rPr>
        <w:b/>
        <w:bCs/>
        <w:color w:val="1f4e79" w:themeColor="accent5" w:themeShade="80"/>
        <w:sz w:val="24"/>
        <w:szCs w:val="24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<wp:simplePos x="0" y="0"/>
              <wp:positionH relativeFrom="column">
                <wp:posOffset>-975360</wp:posOffset>
              </wp:positionH>
              <wp:positionV relativeFrom="paragraph">
                <wp:posOffset>123825</wp:posOffset>
              </wp:positionV>
              <wp:extent cx="7258050" cy="0"/>
              <wp:effectExtent l="76200" t="114300" r="38100" b="5715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72580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50000"/>
                          </a:schemeClr>
                        </a:solidFill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id="shape 1" o:spid="_x0000_s1" style="position:absolute;left:0;text-align:left;z-index:251660288;mso-wrap-distance-left:9.00pt;mso-wrap-distance-top:0.00pt;mso-wrap-distance-right:9.00pt;mso-wrap-distance-bottom:0.00pt;visibility:visible;" from="-76.8pt,9.8pt" to="494.7pt,9.8pt" filled="f" strokecolor="#1F3963" strokeweight="3.00pt">
              <v:stroke dashstyle="solid"/>
            </v:line>
          </w:pict>
        </mc:Fallback>
      </mc:AlternateContent>
    </w:r>
    <w:r>
      <w:rPr>
        <w:rFonts w:asciiTheme="minorHAnsi" w:hAnsiTheme="minorHAnsi" w:cstheme="minorHAnsi"/>
        <w:b/>
        <w:bCs/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nforcement="0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78"/>
    <w:next w:val="77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79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78"/>
    <w:next w:val="77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79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78"/>
    <w:next w:val="77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79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78"/>
    <w:next w:val="77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7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78"/>
    <w:next w:val="77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7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78"/>
    <w:next w:val="77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7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78"/>
    <w:next w:val="77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7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78"/>
    <w:next w:val="77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7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78"/>
    <w:next w:val="77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7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78"/>
    <w:next w:val="77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79"/>
    <w:link w:val="34"/>
    <w:uiPriority w:val="10"/>
    <w:rPr>
      <w:sz w:val="48"/>
      <w:szCs w:val="48"/>
    </w:rPr>
  </w:style>
  <w:style w:type="paragraph" w:styleId="36">
    <w:name w:val="Subtitle"/>
    <w:basedOn w:val="778"/>
    <w:next w:val="77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79"/>
    <w:link w:val="36"/>
    <w:uiPriority w:val="11"/>
    <w:rPr>
      <w:sz w:val="24"/>
      <w:szCs w:val="24"/>
    </w:rPr>
  </w:style>
  <w:style w:type="paragraph" w:styleId="38">
    <w:name w:val="Quote"/>
    <w:basedOn w:val="778"/>
    <w:next w:val="77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78"/>
    <w:next w:val="77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79"/>
    <w:link w:val="782"/>
    <w:uiPriority w:val="99"/>
  </w:style>
  <w:style w:type="character" w:styleId="45">
    <w:name w:val="Footer Char"/>
    <w:basedOn w:val="779"/>
    <w:link w:val="781"/>
    <w:uiPriority w:val="99"/>
  </w:style>
  <w:style w:type="paragraph" w:styleId="46">
    <w:name w:val="Caption"/>
    <w:basedOn w:val="778"/>
    <w:next w:val="7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81"/>
    <w:uiPriority w:val="99"/>
  </w:style>
  <w:style w:type="table" w:styleId="49">
    <w:name w:val="Table Grid Light"/>
    <w:basedOn w:val="7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7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7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79"/>
    <w:uiPriority w:val="99"/>
    <w:unhideWhenUsed/>
    <w:rPr>
      <w:vertAlign w:val="superscript"/>
    </w:rPr>
  </w:style>
  <w:style w:type="paragraph" w:styleId="178">
    <w:name w:val="endnote text"/>
    <w:basedOn w:val="77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79"/>
    <w:uiPriority w:val="99"/>
    <w:semiHidden/>
    <w:unhideWhenUsed/>
    <w:rPr>
      <w:vertAlign w:val="superscript"/>
    </w:rPr>
  </w:style>
  <w:style w:type="paragraph" w:styleId="181">
    <w:name w:val="toc 1"/>
    <w:basedOn w:val="778"/>
    <w:next w:val="77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78"/>
    <w:next w:val="77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78"/>
    <w:next w:val="77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78"/>
    <w:next w:val="77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78"/>
    <w:next w:val="77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78"/>
    <w:next w:val="77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78"/>
    <w:next w:val="77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78"/>
    <w:next w:val="77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78"/>
    <w:next w:val="77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78"/>
    <w:next w:val="778"/>
    <w:uiPriority w:val="99"/>
    <w:unhideWhenUsed/>
    <w:pPr>
      <w:spacing w:after="0" w:afterAutospacing="0"/>
    </w:pPr>
  </w:style>
  <w:style w:type="paragraph" w:styleId="778" w:default="1">
    <w:name w:val="Normal"/>
    <w:uiPriority w:val="0"/>
    <w:qFormat/>
    <w:pPr>
      <w:spacing w:after="160" w:line="240" w:lineRule="auto"/>
    </w:pPr>
    <w:rPr>
      <w:rFonts w:ascii="Times New Roman" w:hAnsi="Times New Roman" w:eastAsiaTheme="minorHAnsi" w:cstheme="minorBidi"/>
      <w:sz w:val="28"/>
      <w:szCs w:val="22"/>
      <w:lang w:val="ru-RU" w:eastAsia="en-US" w:bidi="ar-SA"/>
      <w14:ligatures w14:val="standardContextual"/>
    </w:rPr>
  </w:style>
  <w:style w:type="character" w:styleId="779" w:default="1">
    <w:name w:val="Default Paragraph Font"/>
    <w:uiPriority w:val="1"/>
    <w:semiHidden/>
    <w:unhideWhenUsed/>
    <w:qFormat/>
  </w:style>
  <w:style w:type="table" w:styleId="780" w:default="1">
    <w:name w:val="Normal Table"/>
    <w:uiPriority w:val="99"/>
    <w:semiHidden/>
    <w:unhideWhenUsed/>
    <w:qFormat/>
    <w:tblPr>
      <w:tblCellMar>
        <w:left w:w="108" w:type="dxa"/>
        <w:top w:w="0" w:type="dxa"/>
        <w:right w:w="108" w:type="dxa"/>
        <w:bottom w:w="0" w:type="dxa"/>
      </w:tblCellMar>
    </w:tblPr>
  </w:style>
  <w:style w:type="paragraph" w:styleId="781">
    <w:name w:val="Footer"/>
    <w:basedOn w:val="778"/>
    <w:link w:val="787"/>
    <w:uiPriority w:val="99"/>
    <w:unhideWhenUsed/>
    <w:qFormat/>
    <w:pPr>
      <w:spacing w:after="0"/>
      <w:tabs>
        <w:tab w:val="center" w:pos="4677" w:leader="none"/>
        <w:tab w:val="right" w:pos="9355" w:leader="none"/>
      </w:tabs>
    </w:pPr>
  </w:style>
  <w:style w:type="paragraph" w:styleId="782">
    <w:name w:val="Header"/>
    <w:basedOn w:val="778"/>
    <w:link w:val="786"/>
    <w:uiPriority w:val="99"/>
    <w:unhideWhenUsed/>
    <w:qFormat/>
    <w:pPr>
      <w:spacing w:after="0"/>
      <w:tabs>
        <w:tab w:val="center" w:pos="4677" w:leader="none"/>
        <w:tab w:val="right" w:pos="9355" w:leader="none"/>
      </w:tabs>
    </w:pPr>
  </w:style>
  <w:style w:type="character" w:styleId="783">
    <w:name w:val="Hyperlink"/>
    <w:basedOn w:val="779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84">
    <w:name w:val="Normal (Web)"/>
    <w:basedOn w:val="778"/>
    <w:uiPriority w:val="99"/>
    <w:semiHidden/>
    <w:unhideWhenUsed/>
    <w:qFormat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  <w14:ligatures w14:val="none"/>
    </w:rPr>
  </w:style>
  <w:style w:type="table" w:styleId="785">
    <w:name w:val="Table Grid"/>
    <w:basedOn w:val="780"/>
    <w:uiPriority w:val="39"/>
    <w:qFormat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86" w:customStyle="1">
    <w:name w:val="Верхний колонтитул Знак"/>
    <w:basedOn w:val="779"/>
    <w:link w:val="782"/>
    <w:uiPriority w:val="99"/>
    <w:qFormat/>
    <w:rPr>
      <w:rFonts w:ascii="Times New Roman" w:hAnsi="Times New Roman"/>
      <w:sz w:val="28"/>
    </w:rPr>
  </w:style>
  <w:style w:type="character" w:styleId="787" w:customStyle="1">
    <w:name w:val="Нижний колонтитул Знак"/>
    <w:basedOn w:val="779"/>
    <w:link w:val="781"/>
    <w:uiPriority w:val="99"/>
    <w:qFormat/>
    <w:rPr>
      <w:rFonts w:ascii="Times New Roman" w:hAnsi="Times New Roman"/>
      <w:sz w:val="28"/>
    </w:rPr>
  </w:style>
  <w:style w:type="character" w:styleId="788" w:customStyle="1">
    <w:name w:val="Unresolved Mention"/>
    <w:basedOn w:val="779"/>
    <w:uiPriority w:val="99"/>
    <w:semiHidden/>
    <w:unhideWhenUsed/>
    <w:qFormat/>
    <w:rPr>
      <w:color w:val="605e5c"/>
      <w:shd w:val="clear" w:color="auto" w:fill="e1dfdd"/>
    </w:rPr>
  </w:style>
  <w:style w:type="paragraph" w:styleId="789">
    <w:name w:val="List Paragraph"/>
    <w:basedOn w:val="778"/>
    <w:uiPriority w:val="34"/>
    <w:qFormat/>
    <w:pPr>
      <w:contextualSpacing/>
      <w:ind w:left="720"/>
    </w:pPr>
  </w:style>
  <w:style w:type="table" w:styleId="790" w:customStyle="1">
    <w:name w:val="Table Normal1"/>
    <w:uiPriority w:val="0"/>
    <w:qFormat/>
    <w:pPr>
      <w:spacing w:after="0" w:line="240" w:lineRule="auto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Times New Roman" w:hAnsi="Times New Roman" w:eastAsia="Arial Unicode MS" w:cs="Times New Roman"/>
      <w:sz w:val="20"/>
      <w:szCs w:val="20"/>
      <w:lang w:eastAsia="ru-RU"/>
      <w14:ligatures w14:val="none"/>
    </w:rPr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791" w:customStyle="1">
    <w:name w:val="Стиль таблицы 2"/>
    <w:uiPriority w:val="0"/>
    <w:qFormat/>
    <w:pPr>
      <w:spacing w:after="0" w:line="240" w:lineRule="auto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Helvetica Neue" w:hAnsi="Helvetica Neue" w:eastAsia="Arial Unicode MS" w:cs="Arial Unicode MS"/>
      <w:color w:val="000000"/>
      <w:sz w:val="20"/>
      <w:szCs w:val="20"/>
      <w:lang w:val="ru-RU" w:eastAsia="ru-RU" w:bidi="ar-SA"/>
      <w14:ligatures w14:val="none"/>
    </w:rPr>
  </w:style>
  <w:style w:type="character" w:styleId="792" w:customStyle="1">
    <w:name w:val="markedcontent"/>
    <w:basedOn w:val="779"/>
    <w:uiPriority w:val="0"/>
    <w:qFormat/>
  </w:style>
  <w:style w:type="paragraph" w:styleId="793" w:customStyle="1">
    <w:name w:val="По умолчанию"/>
    <w:uiPriority w:val="0"/>
    <w:qFormat/>
    <w:pPr>
      <w:spacing w:after="0" w:line="240" w:lineRule="auto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Helvetica Neue" w:hAnsi="Helvetica Neue" w:eastAsia="Arial Unicode MS" w:cs="Arial Unicode MS"/>
      <w:color w:val="000000"/>
      <w:sz w:val="22"/>
      <w:szCs w:val="22"/>
      <w:lang w:val="ru-RU" w:eastAsia="ru-RU" w:bidi="ar-SA"/>
      <w14:ligatures w14:val="none"/>
    </w:rPr>
  </w:style>
  <w:style w:type="numbering" w:styleId="1763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2.pn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DocSecurity>0</DocSecurity>
  <LinksUpToDate>false</LinksUpToDate>
  <ScaleCrop>false</ScaleCrop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Алина Мартынцова</cp:lastModifiedBy>
  <cp:revision>5</cp:revision>
  <dcterms:created xsi:type="dcterms:W3CDTF">2023-04-29T11:36:00Z</dcterms:created>
  <dcterms:modified xsi:type="dcterms:W3CDTF">2024-05-16T14:59:10Z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1033-5.6.0.8082</vt:lpwstr>
  </property>
</Properties>
</file>