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792"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Бункер равномерной подачи (бункер-ворошитель) </w:t>
      </w:r>
      <w:r>
        <w:rPr>
          <w:rFonts w:hint="default"/>
          <w:b/>
          <w:bCs/>
          <w:lang w:val="ru-RU"/>
        </w:rPr>
      </w:r>
    </w:p>
    <w:p>
      <w:pPr>
        <w:ind w:firstLine="709"/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ТЕХНИЧЕСКАЯ ХАРАКТЕРИСТИКА</w:t>
      </w:r>
      <w:r>
        <w:rPr>
          <w:bCs/>
          <w:sz w:val="24"/>
          <w:szCs w:val="24"/>
        </w:rPr>
      </w:r>
    </w:p>
    <w:tbl>
      <w:tblPr>
        <w:tblStyle w:val="7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1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Производительность, кг/ч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500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2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Рабочее напряжение, В/Гц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380/50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3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Установленная мощность, кВт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4,4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4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Длина шнека подачи, м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2,5-3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92"/>
              <w:jc w:val="both"/>
            </w:pPr>
            <w:r>
              <w:t xml:space="preserve">5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92"/>
              <w:jc w:val="both"/>
              <w:spacing w:before="0" w:beforeAutospacing="0" w:after="0" w:afterAutospacing="0"/>
            </w:pPr>
            <w:r>
              <w:t xml:space="preserve">Габаритные размеры (без учета шнека):</w:t>
            </w:r>
            <w:r/>
          </w:p>
          <w:p>
            <w:pPr>
              <w:pStyle w:val="792"/>
              <w:ind w:firstLine="467"/>
              <w:jc w:val="both"/>
              <w:spacing w:before="0" w:beforeAutospacing="0" w:after="0" w:afterAutospacing="0"/>
            </w:pPr>
            <w:r>
              <w:t xml:space="preserve">Длина</w:t>
            </w:r>
            <w:r/>
          </w:p>
          <w:p>
            <w:pPr>
              <w:pStyle w:val="792"/>
              <w:ind w:firstLine="467"/>
              <w:jc w:val="both"/>
              <w:spacing w:before="0" w:beforeAutospacing="0" w:after="0" w:afterAutospacing="0"/>
            </w:pPr>
            <w:r>
              <w:t xml:space="preserve">Ширина</w:t>
            </w:r>
            <w:r/>
          </w:p>
          <w:p>
            <w:pPr>
              <w:pStyle w:val="792"/>
              <w:ind w:firstLine="467"/>
              <w:jc w:val="both"/>
              <w:spacing w:before="0" w:beforeAutospacing="0" w:after="0" w:afterAutospacing="0"/>
            </w:pPr>
            <w:r>
              <w:t xml:space="preserve">Высота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792"/>
              <w:jc w:val="both"/>
              <w:spacing w:before="0" w:beforeAutospacing="0" w:after="0" w:afterAutospacing="0"/>
            </w:pPr>
            <w:r/>
            <w:r/>
          </w:p>
          <w:p>
            <w:pPr>
              <w:pStyle w:val="792"/>
              <w:jc w:val="both"/>
              <w:spacing w:before="0" w:beforeAutospacing="0" w:after="0" w:afterAutospacing="0"/>
            </w:pPr>
            <w:r>
              <w:t xml:space="preserve">1000</w:t>
            </w:r>
            <w:r/>
          </w:p>
          <w:p>
            <w:pPr>
              <w:pStyle w:val="792"/>
              <w:jc w:val="both"/>
              <w:spacing w:before="0" w:beforeAutospacing="0" w:after="0" w:afterAutospacing="0"/>
            </w:pPr>
            <w:r>
              <w:t xml:space="preserve">800</w:t>
            </w:r>
            <w:r/>
          </w:p>
          <w:p>
            <w:pPr>
              <w:pStyle w:val="792"/>
              <w:jc w:val="both"/>
              <w:spacing w:before="0" w:beforeAutospacing="0" w:after="0" w:afterAutospacing="0"/>
            </w:pPr>
            <w:r>
              <w:t xml:space="preserve">1200</w:t>
            </w:r>
            <w:r/>
          </w:p>
        </w:tc>
      </w:tr>
    </w:tbl>
    <w:p>
      <w:pPr>
        <w:ind w:firstLine="4536"/>
      </w:pPr>
      <w:r/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55880</wp:posOffset>
                </wp:positionV>
                <wp:extent cx="2352675" cy="3124200"/>
                <wp:effectExtent l="0" t="0" r="9525" b="0"/>
                <wp:wrapSquare wrapText="bothSides"/>
                <wp:docPr id="4" name="Рисунок 388" descr="C:\Users\Toshiba\Pictures\1\бункер дозатор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8" name="Рисунок 388" descr="C:\Users\Toshiba\Pictures\1\бункер дозатор.jpg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52675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360;o:allowoverlap:true;o:allowincell:true;mso-position-horizontal-relative:text;margin-left:3.70pt;mso-position-horizontal:absolute;mso-position-vertical-relative:text;margin-top:4.40pt;mso-position-vertical:absolute;width:185.25pt;height:246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Бункер-ворошитель состоит из приемного бункера, шнека подачи, трассы обратного сброса (пересып), дозации.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10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jc w:val="right"/>
        <w:spacing w:after="100"/>
        <w:rPr>
          <w:sz w:val="22"/>
        </w:rPr>
      </w:pPr>
      <w:r>
        <w:rPr>
          <w:b/>
          <w:sz w:val="22"/>
        </w:rPr>
        <w:t xml:space="preserve">ЦЕНА ИЗДЕЛИЯ: </w:t>
      </w:r>
      <w:r>
        <w:rPr>
          <w:rFonts w:hint="default"/>
          <w:b/>
          <w:sz w:val="22"/>
          <w:lang w:val="ru-RU"/>
        </w:rPr>
        <w:t xml:space="preserve">175 </w:t>
      </w:r>
      <w:r>
        <w:rPr>
          <w:b/>
          <w:sz w:val="22"/>
        </w:rPr>
        <w:t xml:space="preserve">000 руб. без НДС</w:t>
      </w:r>
      <w:r>
        <w:rPr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УСЛОВИЯ ПОСТАВКИ</w:t>
      </w:r>
      <w:r>
        <w:rPr>
          <w:rFonts w:cs="Times New Roman"/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 xml:space="preserve">20  </w:t>
      </w:r>
      <w:r>
        <w:rPr>
          <w:sz w:val="22"/>
        </w:rPr>
        <w:t xml:space="preserve">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76200</wp:posOffset>
                </wp:positionV>
                <wp:extent cx="1434465" cy="1326515"/>
                <wp:effectExtent l="0" t="0" r="13335" b="19685"/>
                <wp:wrapNone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2336;o:allowoverlap:true;o:allowincell:true;mso-position-horizontal-relative:text;margin-left:180.45pt;mso-position-horizontal:absolute;mso-position-vertical-relative:text;margin-top:6.0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360" w:lineRule="auto"/>
        <w:rPr>
          <w:sz w:val="22"/>
        </w:rPr>
      </w:pPr>
      <w:r>
        <w:rPr>
          <w:sz w:val="22"/>
        </w:rPr>
        <w:t xml:space="preserve"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В.И.Цыхонь</w:t>
      </w:r>
      <w:r>
        <w:rPr>
          <w:sz w:val="2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3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0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79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9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779">
    <w:name w:val="Footer"/>
    <w:basedOn w:val="776"/>
    <w:link w:val="785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0">
    <w:name w:val="Header"/>
    <w:basedOn w:val="776"/>
    <w:link w:val="784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1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82">
    <w:name w:val="Normal (Web)"/>
    <w:basedOn w:val="776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table" w:styleId="783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Верхний колонтитул Знак"/>
    <w:basedOn w:val="777"/>
    <w:link w:val="780"/>
    <w:uiPriority w:val="99"/>
    <w:qFormat/>
    <w:rPr>
      <w:rFonts w:ascii="Times New Roman" w:hAnsi="Times New Roman"/>
      <w:sz w:val="28"/>
    </w:rPr>
  </w:style>
  <w:style w:type="character" w:styleId="785" w:customStyle="1">
    <w:name w:val="Нижний колонтитул Знак"/>
    <w:basedOn w:val="777"/>
    <w:link w:val="779"/>
    <w:uiPriority w:val="99"/>
    <w:qFormat/>
    <w:rPr>
      <w:rFonts w:ascii="Times New Roman" w:hAnsi="Times New Roman"/>
      <w:sz w:val="28"/>
    </w:rPr>
  </w:style>
  <w:style w:type="character" w:styleId="786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paragraph" w:styleId="787">
    <w:name w:val="List Paragraph"/>
    <w:basedOn w:val="776"/>
    <w:uiPriority w:val="34"/>
    <w:qFormat/>
    <w:pPr>
      <w:contextualSpacing/>
      <w:ind w:left="720"/>
    </w:pPr>
  </w:style>
  <w:style w:type="table" w:styleId="788" w:customStyle="1">
    <w:name w:val="Table Normal1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9" w:customStyle="1">
    <w:name w:val="Стиль таблицы 2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0"/>
      <w:szCs w:val="20"/>
      <w:lang w:val="ru-RU" w:eastAsia="ru-RU" w:bidi="ar-SA"/>
      <w14:ligatures w14:val="none"/>
    </w:rPr>
  </w:style>
  <w:style w:type="character" w:styleId="790" w:customStyle="1">
    <w:name w:val="markedcontent"/>
    <w:basedOn w:val="777"/>
    <w:uiPriority w:val="0"/>
    <w:qFormat/>
  </w:style>
  <w:style w:type="paragraph" w:styleId="791" w:customStyle="1">
    <w:name w:val="По умолчанию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  <w14:ligatures w14:val="none"/>
    </w:rPr>
  </w:style>
  <w:style w:type="paragraph" w:styleId="792">
    <w:name w:val="No Spacing"/>
    <w:basedOn w:val="776"/>
    <w:uiPriority w:val="1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numbering" w:styleId="11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2023-04-29T02:36:00Z</dcterms:created>
  <dcterms:modified xsi:type="dcterms:W3CDTF">2024-05-17T13:41:21Z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